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18 naturvårdsarter, varav 6 är rödlistade, 6 är fridlysta, 13 är typiska (T) och 6 är signalarter (S): rotfingersvamp (VU), dropptaggsvamp (NT, T), motaggsvamp (NT, T), tallkötticka (NT), talltita (NT, §4), ullticka (NT, T), blåmossa (S, T), grön sköldmossa (S, T, §8), grönpyrola (S, T), kornknutmossa (S, T), mindre märgborre (S, T), vedticka (S, T), ekbräken (T), hultbräken (T), spillkråka (T, §4), tofsmes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