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60923-2021 i Tyresö kommun</w:t>
      </w:r>
    </w:p>
    <w:p>
      <w:r>
        <w:t>Detta dokument behandlar höga naturvärden i avverkningsanmälan A 60923-2021 i Tyresö kommun. Denna avverkningsanmälan inkom 2021-10-28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36 naturvårdsarter hittats: skogsalm (CR), ask (EN), svartoxe (EN), kungsfiskare (VU, §4), tallbit (VU, §4), violett fingersvamp (VU), ekticka (NT), granticka (NT), gränsticka (NT), gultoppig fingersvamp (NT), korallticka (NT), motaggsvamp (NT), oxtungssvamp (NT), scharlakansvaxing (NT), tallticka (NT), Uloma rufa (NT), vintertagging (NT), blodvaxing (S), dropptaggsvamp (S), fjällig taggsvamp s.str. (S), flagellkvastmossa (S), granbarkgnagare (S), grön sköldmossa (S, §8), hasselticka (S), jättesvampmal (S), kattfotslav (S), kruskantarell (S), lönnlav (S), mörk husmossa (S), rödgul trumpetsvamp (S), skogshakmossa (S), stor aspticka (S), svavelriska (S), sårläka (S), trådticka (S) och kungsfågel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5591"/>
            <wp:docPr id="1" name="Picture 1"/>
            <wp:cNvGraphicFramePr>
              <a:graphicFrameLocks noChangeAspect="1"/>
            </wp:cNvGraphicFramePr>
            <a:graphic>
              <a:graphicData uri="http://schemas.openxmlformats.org/drawingml/2006/picture">
                <pic:pic>
                  <pic:nvPicPr>
                    <pic:cNvPr id="0" name="A 60923-2021 karta.png"/>
                    <pic:cNvPicPr/>
                  </pic:nvPicPr>
                  <pic:blipFill>
                    <a:blip r:embed="rId16"/>
                    <a:stretch>
                      <a:fillRect/>
                    </a:stretch>
                  </pic:blipFill>
                  <pic:spPr>
                    <a:xfrm>
                      <a:off x="0" y="0"/>
                      <a:ext cx="5486400" cy="2555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6570515, E 688681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Svartoxe (EN)</w:t>
      </w:r>
      <w:r>
        <w:t xml:space="preserve"> är en starkt hotad skalbagge som är bunden till lågor av grova dimensioner i täta naturskogar. Den omfattas av ett åtgärdsprogram för hotade arter (ÅGP) och är globalt rödlistad som nära notad (NT) vilket innebär att Sverige har ett internationellt ansvar för arten. Eftersom svartoxen är mycket svår att gynna via normala hänsynstaganden i skogsbruket bör istället bildande av naturreservat vara det lämpligaste instrumentet att bevara den utanför redan fredade områden. I några fall kan nyckelbiotoper fortfarande hysa arten. I så fall bör ett större område avsättas som skyddskappa runt området, och reservatsbildning övervägas (SLU Artdatabanken, 2024; IUCN, 2010; Hedin, 2010).</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kungsfiskare (VU, §4), tallbit (VU, §4), grön sköldmossa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36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