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31366-2021 i Upplands-Bro kommun</w:t>
      </w:r>
    </w:p>
    <w:p>
      <w:r>
        <w:t>Detta dokument behandlar höga naturvärden i avverkningsanmälan A 31366-2021 i Upplands-Bro kommun. Denna avverkningsanmälan inkom 2021-06-21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klotsporig murkla (VU), motaggsvamp (NT), spillkråka (NT, §4), blåmossa (S), rödbrun jordstjärna (S), stubbspretmossa (S), svavelriska (S), thomsons trägnagare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31366-2021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6600198, E 653138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Klotsporig murkla (NT) </w:t>
      </w:r>
      <w:r>
        <w:t>lever som nedbrytare på mossbeklädda granlågor och ved som ligger dold i marken, främst i granskog men även sporadiskt på soptippar och brädgårdar. Den är lätt att känna igen, tydligt sällsynt och har en liten population i landet. Förstörelse av artens växtplatser, t.ex. genom avverkning, hotar arten. Klotsporig murkla</w:t>
      </w:r>
      <w:r>
        <w:rPr>
          <w:b/>
        </w:rPr>
        <w:t xml:space="preserve"> </w:t>
      </w:r>
      <w:r>
        <w:t>är globalt rödlistad som nära hotad (NT) vilket innebär att Sverige har ett internationellt ansvar för arten (SLU Artdatabanken, 2026; IUCN,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