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25561-2025 i Upplands-Bro kommun</w:t>
      </w:r>
    </w:p>
    <w:p>
      <w:r>
        <w:t>Detta dokument behandlar höga naturvärden i avverkningsanmälan A 25561-2025 i Upplands-Bro kommun. Denna avverkningsanmälan inkom 2025-05-26 10:55:09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bombmurkla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8451"/>
            <wp:docPr id="1" name="Picture 1"/>
            <wp:cNvGraphicFramePr>
              <a:graphicFrameLocks noChangeAspect="1"/>
            </wp:cNvGraphicFramePr>
            <a:graphic>
              <a:graphicData uri="http://schemas.openxmlformats.org/drawingml/2006/picture">
                <pic:pic>
                  <pic:nvPicPr>
                    <pic:cNvPr id="0" name="A 25561-2025 karta.png"/>
                    <pic:cNvPicPr/>
                  </pic:nvPicPr>
                  <pic:blipFill>
                    <a:blip r:embed="rId16"/>
                    <a:stretch>
                      <a:fillRect/>
                    </a:stretch>
                  </pic:blipFill>
                  <pic:spPr>
                    <a:xfrm>
                      <a:off x="0" y="0"/>
                      <a:ext cx="5486400" cy="4378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6598871, E 651588 i SWEREF 99 TM.</w:t>
      </w:r>
    </w:p>
    <w:p>
      <w:pPr>
        <w:pStyle w:val="Heading1"/>
      </w:pPr>
      <w:r>
        <w:t>Fridlysta arter</w:t>
      </w:r>
    </w:p>
    <w:p>
      <w:r>
        <w:t>Följande fridlysta arter har sina livsmiljöer och växtplatser i den avverkningsanmälda skogen: bombmurkla (VU, §8).</w:t>
      </w:r>
    </w:p>
    <w:p>
      <w:r>
        <w:rPr>
          <w:b/>
        </w:rPr>
        <w:t xml:space="preserve">Bombmurkla (EN, §8) </w:t>
      </w:r>
      <w:r>
        <w:t>är en starkt hotad art som</w:t>
      </w:r>
      <w:r>
        <w:rPr>
          <w:b/>
        </w:rPr>
        <w:t xml:space="preserve"> </w:t>
      </w:r>
      <w:r>
        <w:t>indikerar en speciell och hotad granskogstyp på naturligt näringsrika sandjordar. Den tål inte slutavverkning eller kraftig gallring och är endast påträffad i områden som har långvarig skogskontinuitet med gran. Minskningstakten för arten, som är placerad högst upp i Skogsstyrelsens värdepyramid för bedömning av skog med höga naturvärden, överstiger gränsvärdet för Starkt hotad (EN). Bombmurkla är fridlyst enligt 8 § artskyddsförordningen, omfattas av ett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2026; Nitare &amp; Skogsstyrelsen, 2019; Naturvårdsverket, 2010).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