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73783-2021 i Upplands-Bro kommun</w:t>
      </w:r>
    </w:p>
    <w:p>
      <w:r>
        <w:t>Detta klagomål behandlar höga naturvärden i avverkningsanmälan A 73783-2021 i Upplands-Bro kommun som inkom 2021-12-22 och omfattar 5,9 ha.</w:t>
      </w:r>
    </w:p>
    <w:p>
      <w:pPr>
        <w:pStyle w:val="Caption"/>
      </w:pPr>
      <w:r>
        <w:drawing>
          <wp:inline xmlns:a="http://schemas.openxmlformats.org/drawingml/2006/main" xmlns:pic="http://schemas.openxmlformats.org/drawingml/2006/picture">
            <wp:extent cx="5486400" cy="4910927"/>
            <wp:docPr id="1" name="Picture 1"/>
            <wp:cNvGraphicFramePr>
              <a:graphicFrameLocks noChangeAspect="1"/>
            </wp:cNvGraphicFramePr>
            <a:graphic>
              <a:graphicData uri="http://schemas.openxmlformats.org/drawingml/2006/picture">
                <pic:pic>
                  <pic:nvPicPr>
                    <pic:cNvPr id="0" name="A 73783-2021 karta.png"/>
                    <pic:cNvPicPr/>
                  </pic:nvPicPr>
                  <pic:blipFill>
                    <a:blip r:embed="rId16"/>
                    <a:stretch>
                      <a:fillRect/>
                    </a:stretch>
                  </pic:blipFill>
                  <pic:spPr>
                    <a:xfrm>
                      <a:off x="0" y="0"/>
                      <a:ext cx="5486400" cy="49109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6602259, E 645848 i SWEREF 99 TM.</w:t>
      </w:r>
    </w:p>
    <w:p>
      <w:r>
        <w:t>I avverkningsanmälan finns fynd av 4 naturvårdsarter, varav 4 är rödlistade och 1 är typisk (T): blek fingersvamp (NT), dofttaggsvamp (NT, T), skarp dropptaggsvamp (NT) och svartvit 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Blek fingersvamp (NT) </w:t>
      </w:r>
      <w:r>
        <w:t>bildar mykorrhiza med dels gran i ängsgranskog men även under bok, ek och avenbok i ädellövskog. Arten är känslig för olika skogsbruksåtgärder och därför på tillbakagång såväl i Sverige som i andra europeiska länder. Arten hotas främst av slutavverkning och andra skogsbruksåtgärder. Arten tål inte en slutavverkning och sannolikt inte heller en kraftig gallring. Skogsområden med arten bör undantas från storskaligt skogsbruk. Slutavverkning, kraftig gallring och skogsgödsling måste helt undvikas, liksom körning med tunga maskiner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