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20601-2022 i Upplands-Bro kommun</w:t>
      </w:r>
    </w:p>
    <w:p>
      <w:r>
        <w:t>Detta dokument behandlar höga naturvärden i avverkningsanmälan A 20601-2022 i Upplands-Bro kommun. Denna avverkningsanmälan inkom 2022-05-19 och omfattar 3,0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16 naturvårdsarter hittats: grönfink (EN, §4), tornseglare (EN, §4), gråtrut (VU, §4), bredbrämad bastardsvärmare (NT), entita (NT, §4), grönsångare (NT, §4), gulsparv (NT, §4), kråka (NT, §4), mindre bastardsvärmare (NT), mindre hackspett (NT, §4), sexfläckig bastardsvärmare (NT), spillkråka (NT, §4), talltita (NT, §4), kungsfågel (§4), huggorm (§6) och kopparödla (§6). Av dessa är 13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84530"/>
            <wp:docPr id="1" name="Picture 1"/>
            <wp:cNvGraphicFramePr>
              <a:graphicFrameLocks noChangeAspect="1"/>
            </wp:cNvGraphicFramePr>
            <a:graphic>
              <a:graphicData uri="http://schemas.openxmlformats.org/drawingml/2006/picture">
                <pic:pic>
                  <pic:nvPicPr>
                    <pic:cNvPr id="0" name="A 20601-2022 karta.png"/>
                    <pic:cNvPicPr/>
                  </pic:nvPicPr>
                  <pic:blipFill>
                    <a:blip r:embed="rId16"/>
                    <a:stretch>
                      <a:fillRect/>
                    </a:stretch>
                  </pic:blipFill>
                  <pic:spPr>
                    <a:xfrm>
                      <a:off x="0" y="0"/>
                      <a:ext cx="5486400" cy="50845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6599320, E 656188 i SWEREF 99 TM.</w:t>
      </w:r>
    </w:p>
    <w:p>
      <w:pPr>
        <w:pStyle w:val="Heading1"/>
      </w:pPr>
      <w:r>
        <w:t>Fridlysta arter</w:t>
      </w:r>
    </w:p>
    <w:p>
      <w:r>
        <w:t>Följande fridlysta arter har sina livsmiljöer och växtplatser i den avverkningsanmälda skogen: grönfink (EN, §4), tornseglare (EN, §4), gråtrut (VU, §4), entita (NT, §4), grönsångare (NT, §4), gulsparv (NT, §4), kråka (NT, §4), mindre hackspett (NT, §4), spillkråka (NT, §4), talltita (NT, §4), kungsfågel (§4), huggorm (§6) och kopparödla (§6).</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Entita (NT, §4)</w:t>
      </w:r>
      <w:r>
        <w:t>, rödlistad som nära hotad och prioriterad art i Skogsvårdslagen, har häckningsrevir i anmälan. Minskningstakten innevarande 10-årsperiod beräknas till 20 (10–30) %.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(Skogsstyrelsen, 2016, SLU Artdatabanken, 2021).</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(SLU Artdatabanken, 2021 &amp; Skogsstyrelsen, 2016).</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16 naturvårdsarter varav 13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Entita (NT, §4) är rödlistad som nära hotad, fridlyst och prioriterad art enligt Skogsvårdslagen. Den omfattas av EU:s fågeldirektiv.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Mindre hackspett – ekologi samt krav på livsmiljön</w:t>
      </w:r>
    </w:p>
    <w:p>
      <w:r>
        <w:t>Mindre hackspett (NT) är rödlistad som nära hotad, fridlyst och prioriterad art i Skogsvårdslagen.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