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495-2026 i Nykvarns kommun</w:t>
      </w:r>
    </w:p>
    <w:p>
      <w:r>
        <w:t>Detta klagomål behandlar höga naturvärden i samrådsanmälan S 495-2026 i Nykvarns kommun som inkom 2026-02-20 och omfattar 6,4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S 495-2026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6568201, E 643794 i SWEREF 99 TM.</w:t>
      </w:r>
    </w:p>
    <w:p>
      <w:r>
        <w:t>I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17 fyndplatser för knärot registrerade på Artportalen. Figur 2 visar gränserna för buffertzoner på 50 m, som behöver lämnas kring fyndplatserna för att knärotslokalerna inte ska försvinna vid en avverkning. Av det samrådsanmälda området överlappar 2.76 ha med buffertzonerna och får av detta skäl inte avverkas.</w:t>
      </w:r>
    </w:p>
    <w:p>
      <w:pPr>
        <w:pStyle w:val="Caption"/>
      </w:pPr>
      <w:r>
        <w:drawing>
          <wp:inline xmlns:a="http://schemas.openxmlformats.org/drawingml/2006/main" xmlns:pic="http://schemas.openxmlformats.org/drawingml/2006/picture">
            <wp:extent cx="5486400" cy="5816184"/>
            <wp:docPr id="2" name="Picture 2"/>
            <wp:cNvGraphicFramePr>
              <a:graphicFrameLocks noChangeAspect="1"/>
            </wp:cNvGraphicFramePr>
            <a:graphic>
              <a:graphicData uri="http://schemas.openxmlformats.org/drawingml/2006/picture">
                <pic:pic>
                  <pic:nvPicPr>
                    <pic:cNvPr id="0" name="S 495-2026 karta knärot.png"/>
                    <pic:cNvPicPr/>
                  </pic:nvPicPr>
                  <pic:blipFill>
                    <a:blip r:embed="rId17"/>
                    <a:stretch>
                      <a:fillRect/>
                    </a:stretch>
                  </pic:blipFill>
                  <pic:spPr>
                    <a:xfrm>
                      <a:off x="0" y="0"/>
                      <a:ext cx="5486400" cy="581618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6568201, E 643794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