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1801-2025 i Södertälje kommun</w:t>
      </w:r>
    </w:p>
    <w:p>
      <w:r>
        <w:t>Detta klagomål behandlar höga naturvärden i samrådsanmälan S 1801-2025 i Södertälje kommun som inkom 2025-06-09 och omfattar 1,7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S 1801-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6556119, E 636832 i SWEREF 99 TM.</w:t>
      </w:r>
    </w:p>
    <w:p>
      <w:r>
        <w:t>I och inom 25 meter från samrådsanmälan finns fynd av 27 naturvårdsarter, varav 9 är rödlistade, 3 är fridlysta, 18 är typiska (T) och 16 är signalarter (S): ask (EN), aspfjädermossa (VU, T), lunglav (NT, T), rödbrun blekspik (NT, T), skarp dropptaggsvamp (NT), sårläka (NT, T), tallticka (NT, T), vedtrappmossa (NT, T), vårärt (NT, T), blanksvart trämyra (S), brun nållav (S), bårdlav (S, T), fällmossa (S, T), grön sköldmossa (S, T, §8), grönpyrola (S, T), guldkremla (S), gulnål (S, T), gulpudrad spiklav (S, T), jättesvampmal (S), korallblylav (S, T), lönnlav (S), mörk husmossa (S, T), rostfläck (S, T), tibast (S, T), zontaggsvamp (S),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