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2839-2024 i Södertälje kommun</w:t>
      </w:r>
    </w:p>
    <w:p>
      <w:r>
        <w:t>Denna tillsynsbegäran behandlar höga naturvärden i samrådsanmälan S 2839-2024 i Södertälje kommun som inkom 2024-07-19 och omfattar 8,0 ha.</w:t>
      </w:r>
    </w:p>
    <w:p>
      <w:pPr>
        <w:pStyle w:val="Caption"/>
      </w:pPr>
      <w:r>
        <w:drawing>
          <wp:inline xmlns:a="http://schemas.openxmlformats.org/drawingml/2006/main" xmlns:pic="http://schemas.openxmlformats.org/drawingml/2006/picture">
            <wp:extent cx="5080787" cy="5724000"/>
            <wp:docPr id="1" name="Picture 1"/>
            <wp:cNvGraphicFramePr>
              <a:graphicFrameLocks noChangeAspect="1"/>
            </wp:cNvGraphicFramePr>
            <a:graphic>
              <a:graphicData uri="http://schemas.openxmlformats.org/drawingml/2006/picture">
                <pic:pic>
                  <pic:nvPicPr>
                    <pic:cNvPr id="0" name="S 2839-2024 karta.png"/>
                    <pic:cNvPicPr/>
                  </pic:nvPicPr>
                  <pic:blipFill>
                    <a:blip r:embed="rId16"/>
                    <a:stretch>
                      <a:fillRect/>
                    </a:stretch>
                  </pic:blipFill>
                  <pic:spPr>
                    <a:xfrm>
                      <a:off x="0" y="0"/>
                      <a:ext cx="508078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6554929, E 634842 i SWEREF 99 TM.</w:t>
      </w:r>
    </w:p>
    <w:p>
      <w:r>
        <w:t>I och inom 23 meter från samrådsanmälan finns fynd av 6 naturvårdsarter, varav 2 är rödlistade, 5 är typiska (T) och 4 är signalarter (S): motaggsvamp (NT, T), vedtrappmossa (NT, T), blåmossa (S, T), bronshjon (S, T), flagellkvastmossa (S,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motaggsvamp (NT, T), vedtrappmossa (NT, T), blåmossa (S, T), bronshjon (S, T) och flagellkvastmossa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