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37679-2021 i Södertälje kommun</w:t>
      </w:r>
    </w:p>
    <w:p>
      <w:r>
        <w:t>Detta dokument behandlar höga naturvärden i avverkningsanmälan A 37679-2021 i Södertälje kommun. Denna avverkningsanmälan inkom 2021-07-23 och omfattar 25,3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franstandad barkskinnbagge (EN), björkstumpbagge (NT), svinrot (NT), spindelbock (S) och åttafläckig praktbagge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37679-2021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6555975, E 633333 i SWEREF 99 TM.</w:t>
      </w:r>
    </w:p>
    <w:p>
      <w:r>
        <w:rPr>
          <w:b/>
        </w:rPr>
        <w:t>Björkstumpbagge (NT)</w:t>
      </w:r>
      <w:r>
        <w:t xml:space="preserve"> är rovdjur som lever under bark på döda, insektsangripna, såväl liggande som stående stammar och stubbar av björk, men även på andra trädslag såsom asp, ek och barrträd. De träd som utnyttjas bör ha varit döda i cirka fem år eller mer. Arten hotas av skogsbruk där lämpliga bestånd med grov vårtbjörk har minskat i antal. Gamla björkbestånd och döda björkstammar bör sparas vid avverkningar. För att långsiktigt möjliggöra artens överlevnad är det även viktigt att öka lövträdsinblandningen i skogen och att spara björkar vid gallring så att det även framgent kommer att finnas gamla, grova träd (SLU Artdatabanken, 2024).</w:t>
      </w:r>
    </w:p>
    <w:p>
      <w:r>
        <w:rPr>
          <w:b/>
        </w:rPr>
        <w:t>Franstandad barkskinnbagge (EN)</w:t>
      </w:r>
      <w:r>
        <w:t xml:space="preserve"> är en starkt hotad barrskogsart som mestadels är funnen under bark på grövre granstubbar, som är angripna av luktticka. Arten hotas av bristen på död ved, i synnerhet högstubbar, i granskogar. Genom bekämpningsaktioner mot barkborrar, borttransport av vindfällen och även av branddödade granar har substratet för den franstandade barkskinnbaggen minskat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