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27058-2024 i Södertälje kommun</w:t>
      </w:r>
    </w:p>
    <w:p>
      <w:r>
        <w:t>Detta dokument behandlar höga naturvärden i avverkningsanmälan A 27058-2024 i Södertälje kommun som inkom 2024-06-28 och omfattar 3,7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54936" cy="5688000"/>
            <wp:docPr id="1" name="Picture 1"/>
            <wp:cNvGraphicFramePr>
              <a:graphicFrameLocks noChangeAspect="1"/>
            </wp:cNvGraphicFramePr>
            <a:graphic>
              <a:graphicData uri="http://schemas.openxmlformats.org/drawingml/2006/picture">
                <pic:pic>
                  <pic:nvPicPr>
                    <pic:cNvPr id="0" name="A 27058-2024 karta.png"/>
                    <pic:cNvPicPr/>
                  </pic:nvPicPr>
                  <pic:blipFill>
                    <a:blip r:embed="rId16"/>
                    <a:stretch>
                      <a:fillRect/>
                    </a:stretch>
                  </pic:blipFill>
                  <pic:spPr>
                    <a:xfrm>
                      <a:off x="0" y="0"/>
                      <a:ext cx="4354936"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6555868, E 653535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persiljespindling (NT)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