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23846-2026 i Södertälje kommun</w:t>
      </w:r>
    </w:p>
    <w:p>
      <w:r>
        <w:t>Detta klagomål behandlar höga naturvärden i avverkningsanmälan A 23846-2026 i Södertälje kommun som inkom 2026-05-25 och omfattar 11,2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23846-2026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6554455, E 634783 i SWEREF 99 TM.</w:t>
      </w:r>
    </w:p>
    <w:p>
      <w:r>
        <w:t>I och inom 25 meter från avverkningsanmälan finns fynd av 16 naturvårdsarter, varav 3 är rödlistade, 6 är fridlysta, 10 är typiska (T) och 6 är signalarter (S): motaggsvamp (NT, T), talltaggsvamp (NT), tallticka (NT, T), blåmossa (S, T), flagellkvastmossa (S, T), granbarkgnagare (S, T), grovticka (S, T), grön sköldmossa (S, T, §8), jättesvampmal (S), krushättemossa (T), skriftlav (T), tjäder (T, §4), bred kärrtrollslända (§4a), citronfläckad kärrtrollslända (§4a), pudrad kärrtrollslända (§4a)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Skriftlav</w:t>
      </w:r>
      <w:r>
        <w:t xml:space="preserve"> är typisk art för </w:t>
      </w:r>
      <w:r>
        <w:rPr>
          <w:i/>
        </w:rPr>
        <w:t xml:space="preserve">9190 Näringsfattig ekskog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