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dokument behandlar höga naturvärden i avverkningsanmälan A 10943-2026 i Södertälje kommun. Denna avverkningsanmälan inkom 2026-02-26 09:00:16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ekpricklav (VU), brunpudrad nållav (NT), oxtungssvamp (NT), rödbrun blekspik (NT), brun nållav (S), flagellkvastmossa (S), gulpudrad spiklav (S), platt fjädermossa (S), rostfläck (S), sotlav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6556225, E 636402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Ekpricklav (VU)</w:t>
      </w:r>
      <w:r>
        <w:t xml:space="preserve"> växer främst på mycket gamla ekar med grov sprickbark i skogsmiljö med hög och jämn luftfuktighet. Förekommer inte i öppna ekhagar. Denna typ av ekar är sällsynta och nyskapas i mycket begränsad omfattning. Lämpliga biotoper måste bevaras och ett tillräckligt antal unga träd måste tillåtas bli mycket gamla för att på lång sikt ersätta de nuvarande gammelträden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