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2348-2025 i Södertälje kommun</w:t>
      </w:r>
    </w:p>
    <w:p>
      <w:r>
        <w:t>Detta klagomål behandlar höga naturvärden i samrådsanmälan S 2348-2025 i Södertälje kommun som inkom 2025-08-18 och omfattar 2,5 ha.</w:t>
      </w:r>
    </w:p>
    <w:p>
      <w:pPr>
        <w:pStyle w:val="Caption"/>
      </w:pPr>
      <w:r>
        <w:drawing>
          <wp:inline xmlns:a="http://schemas.openxmlformats.org/drawingml/2006/main" xmlns:pic="http://schemas.openxmlformats.org/drawingml/2006/picture">
            <wp:extent cx="5486400" cy="5328193"/>
            <wp:docPr id="1" name="Picture 1"/>
            <wp:cNvGraphicFramePr>
              <a:graphicFrameLocks noChangeAspect="1"/>
            </wp:cNvGraphicFramePr>
            <a:graphic>
              <a:graphicData uri="http://schemas.openxmlformats.org/drawingml/2006/picture">
                <pic:pic>
                  <pic:nvPicPr>
                    <pic:cNvPr id="0" name="S 2348-2025 karta.png"/>
                    <pic:cNvPicPr/>
                  </pic:nvPicPr>
                  <pic:blipFill>
                    <a:blip r:embed="rId16"/>
                    <a:stretch>
                      <a:fillRect/>
                    </a:stretch>
                  </pic:blipFill>
                  <pic:spPr>
                    <a:xfrm>
                      <a:off x="0" y="0"/>
                      <a:ext cx="5486400" cy="5328193"/>
                    </a:xfrm>
                    <a:prstGeom prst="rect"/>
                  </pic:spPr>
                </pic:pic>
              </a:graphicData>
            </a:graphic>
          </wp:inline>
        </w:drawing>
      </w:r>
    </w:p>
    <w:p>
      <w:pPr>
        <w:pStyle w:val="Caption"/>
        <w:spacing w:after="240"/>
      </w:pPr>
      <w:r>
        <w:t>Figur 1. Fyndplatser för naturvårdsarter i och inom 18 meter från samrådsanmälan. Markörer utan svart kant är placerade på fyndplatsen. Markörer med svart kant är placerade vid sidan av fyndplatsen och har ett svart streck som visar fyndplatsens exakta position. Kartans mittpunktskoordinat är N 6556245, E 636604 i SWEREF 99 TM.</w:t>
      </w:r>
    </w:p>
    <w:p>
      <w:r>
        <w:t>I och inom 18 meter från samrådsanmälan finns fynd av 29 naturvårdsarter, varav 15 är rödlistade, 2 är fridlysta, 19 är typiska (T) och 12 är signalarter (S): ask (EN), skogsalm (EN), aspfjädermossa (VU, T), ekpricklav (VU), blekticka (NT, T), brunpudrad nållav (NT, T), ekticka (NT, T), korallticka (NT), lunglav (NT, T), oxtungssvamp (NT), parknål (NT), rödbrun blekspik (NT, T), skeppsvarvsfluga (NT), vedtrappmossa (NT, T), vårärt (NT, T), brun nållav (S), bårdlav (S, T), dvärgtufs (S), guldlockmossa (S, T), gulpudrad spiklav (S, T), kornknutmossa (S, T), luddlav (S, T), myskmadra (S, T), platt fjädermossa (S, T), rostfläck (S, T), sotlav (S, T), tibast (S, T), blåsippa (T, §9) och lopplummer (aggregat)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Aspfjädermossa (VU)</w:t>
      </w:r>
      <w:r>
        <w:t xml:space="preserve"> är knuten till gamla skogar, framförallt på näringsrik, högproduktiv mark där den växer på bark av främst ask, lönn och asp. Arten är placerad högst upp i Skogsstyrelsens värdepyramid för bedömning av skog med höga naturvärden. Samtliga lokaler måste ges ett ändamålsenligt skydd och ett urval förekomster bör övervakas för att följa populationens status. Aspfjädermossa är typisk art för </w:t>
      </w:r>
      <w:r>
        <w:rPr>
          <w:i/>
        </w:rPr>
        <w:t>9010 Taiga</w:t>
      </w:r>
      <w:r>
        <w:t xml:space="preserve"> (SLU Artdatabanken, 2024; Nitare &amp; Skogsstyrelsen, 2019).</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Parknål (NT) </w:t>
      </w:r>
      <w:r>
        <w:t>växer söder om Dalälven på gamla ädellövträd och i norra Sverige på mycket gamla sälgar i skogar med hög och jämn luftfuktighet. Ofta förekommer den tillsammans med andra rödlistade knappnålslavar. Lämpliga träd nyskapas i begränsad omfattning. Spara grova träd, restaurera hag- och slåttermarker och öppna runt grova ekar som nu är kraftigt beskuggade. Förekomsterna i norra Sverige måste skyddas (SLU Artdatabanken, 2025).</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Kornknutmossa</w:t>
      </w:r>
      <w:r>
        <w:t xml:space="preserve"> växer främst på grova lågor i sumpskog och myrkanter och indikerar miljöer med rik och jämn tillgång på fuktigt liggande ved. En typisk växtplats i södra Sverige är naturskogsartad gransumpskog. Samtliga skogsskötselåtgärder på eller i omedelbar närhet av lokalerna utgör ett hot. Fragmenteringen av skogslandskapet liksom minskad mängd död ved är ett långsiktigt hot mot denna art. Kornknutmossa är typisk art för </w:t>
      </w:r>
      <w:r>
        <w:rPr>
          <w:i/>
        </w:rPr>
        <w:t xml:space="preserve">9010 Taiga </w:t>
      </w:r>
      <w:r>
        <w:t>och</w:t>
      </w:r>
      <w:r>
        <w:rPr>
          <w:i/>
        </w:rPr>
        <w:t xml:space="preserve"> 9740 Skogsbevuxen myr</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27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29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