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10943-2026 i Södertälje kommun</w:t>
      </w:r>
    </w:p>
    <w:p>
      <w:r>
        <w:t>Detta dokument behandlar höga naturvärden i avverkningsanmälan A 10943-2026 i Södertälje kommun. Denna avverkningsanmälan inkom 2026-02-26 09:00:16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ekpricklav (VU), brunpudrad nållav (NT), oxtungssvamp (NT), rödbrun blekspik (NT), brun nållav (S), flagellkvastmossa (S), gulpudrad spiklav (S), platt fjädermossa (S), rostfläck (S), sotlav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6556225, E 636402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Ekpricklav (VU)</w:t>
      </w:r>
      <w:r>
        <w:t xml:space="preserve"> växer främst på mycket gamla ekar med grov sprickbark i skogsmiljö med hög och jämn luftfuktighet. Förekommer inte i öppna ekhagar. Denna typ av ekar är sällsynta och nyskapas i mycket begränsad omfattning. Lämpliga biotoper måste bevaras och ett tillräckligt antal unga träd måste tillåtas bli mycket gamla för att på lång sikt ersätta de nuvarande gammelträden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