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2590-2025 i Södertälje kommun</w:t>
      </w:r>
    </w:p>
    <w:p>
      <w:r>
        <w:t>Denna tillsynsbegäran behandlar höga naturvärden i samrådsanmälan S 2590-2025 i Södertälje kommun som inkom 2025-09-16 och omfattar 2,8 ha.</w:t>
      </w:r>
    </w:p>
    <w:p>
      <w:pPr>
        <w:pStyle w:val="Caption"/>
      </w:pPr>
      <w:r>
        <w:drawing>
          <wp:inline xmlns:a="http://schemas.openxmlformats.org/drawingml/2006/main" xmlns:pic="http://schemas.openxmlformats.org/drawingml/2006/picture">
            <wp:extent cx="5486400" cy="5109716"/>
            <wp:docPr id="1" name="Picture 1"/>
            <wp:cNvGraphicFramePr>
              <a:graphicFrameLocks noChangeAspect="1"/>
            </wp:cNvGraphicFramePr>
            <a:graphic>
              <a:graphicData uri="http://schemas.openxmlformats.org/drawingml/2006/picture">
                <pic:pic>
                  <pic:nvPicPr>
                    <pic:cNvPr id="0" name="S 2590-2025 karta.png"/>
                    <pic:cNvPicPr/>
                  </pic:nvPicPr>
                  <pic:blipFill>
                    <a:blip r:embed="rId16"/>
                    <a:stretch>
                      <a:fillRect/>
                    </a:stretch>
                  </pic:blipFill>
                  <pic:spPr>
                    <a:xfrm>
                      <a:off x="0" y="0"/>
                      <a:ext cx="5486400" cy="5109716"/>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6556241, E 636614 i SWEREF 99 TM.</w:t>
      </w:r>
    </w:p>
    <w:p>
      <w:r>
        <w:t>I och inom 24 meter från samrådsanmälan finns fynd av 31 naturvårdsarter, varav 15 är rödlistade, 2 är fridlysta, 21 är typiska (T) och 14 är signalarter (S): ask (EN), skogsalm (EN), aspfjädermossa (VU, T), ekpricklav (VU), blekticka (NT, T), brunpudrad nållav (NT, T), ekticka (NT, T), korallticka (NT), lunglav (NT, T), oxtungssvamp (NT), parknål (NT), rödbrun blekspik (NT, T), skeppsvarvsfluga (NT), vedtrappmossa (NT, T), vårärt (NT, T), brun nållav (S), bårdlav (S, T), dvärgtufs (S), fällmossa (S, T), guldlockmossa (S, T), gulnål (S, T), gulpudrad spiklav (S, T), kornknutmossa (S, T), luddlav (S, T), myskmadra (S, T), platt fjädermossa (S, T), rostfläck (S, T), sotlav (S, T), tibast (S, T), blåsippa (T, §9) och lopplummer (aggregat)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Aspfjädermossa (VU)</w:t>
      </w:r>
      <w:r>
        <w:t xml:space="preserve"> är knuten till gamla skogar, framförallt på näringsrik, högproduktiv mark där den växer på bark av främst ask, lönn och asp. Arten är placerad högst upp i Skogsstyrelsens värdepyramid för bedömning av skog med höga naturvärden. Samtliga lokaler måste ges ett ändamålsenligt skydd och ett urval förekomster bör övervakas för att följa populationens status. Aspfjädermossa är typisk art för </w:t>
      </w:r>
      <w:r>
        <w:rPr>
          <w:i/>
        </w:rPr>
        <w:t>9010 Taiga</w:t>
      </w:r>
      <w:r>
        <w:t xml:space="preserve"> (SLU Artdatabanken, 2024; Nitare &amp; Skogsstyrelsen, 2019).</w:t>
      </w:r>
    </w:p>
    <w:p>
      <w:r>
        <w:rPr>
          <w:b/>
        </w:rPr>
        <w:t>Ekpricklav (VU)</w:t>
      </w:r>
      <w:r>
        <w:t xml:space="preserve"> växer främst på mycket gamla ekar med grov sprickbark i skogsmiljöer med hög och jämn luftfuktighet. Arten förekommer inte i öppna ekhagar. Denna typ av ekar är sällsynta och nyskapas i mycket begränsad omfattning. Lämpliga biotoper måste bevaras och ett tillräckligt antal unga träd måste tillåtas bli mycket gamla för att på lång sikt ersätta de nuvarande gammelträden. På ekpricklav kan den mycket sällsynta svartspiken </w:t>
      </w:r>
      <w:r>
        <w:rPr>
          <w:i/>
        </w:rPr>
        <w:t>Chaenothecopsis retinens</w:t>
      </w:r>
      <w:r>
        <w:t xml:space="preserve"> (DD) påträffas (SLU Artdatabanken, 2026).</w:t>
      </w:r>
    </w:p>
    <w:p>
      <w:r>
        <w:rPr>
          <w:b/>
        </w:rPr>
        <w:t>Blekticka (NT)</w:t>
      </w:r>
      <w:r>
        <w:t xml:space="preserve"> är en bra signalart som visar på gamla ekar och skogsområden med höga naturvärden. Arten missgynnas av avverkning av värdträd och passande värdträd runt fyndplatserna. Den hotas på sikt av att ekbestånd ersätts med andra trädslag eller spontant invaderas av gran. Blekticka är typisk art för </w:t>
      </w:r>
      <w:r>
        <w:rPr>
          <w:i/>
        </w:rPr>
        <w:t>9160 Näringsrik ekskog</w:t>
      </w:r>
      <w:r>
        <w:t xml:space="preserve"> och </w:t>
      </w:r>
      <w:r>
        <w:rPr>
          <w:i/>
        </w:rPr>
        <w:t>9190 Näringsfattig ekskog</w:t>
      </w:r>
      <w:r>
        <w:t xml:space="preserve"> (SLU Artdatabanken, 2024; Nitare &amp; Skogsstyrelsen, 2019).</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Korallticka (NT)</w:t>
      </w:r>
      <w:r>
        <w:t xml:space="preserve"> visar på gamla ekar och lövskogsområden med gamla träd som har höga naturvärden. Värdträd, passande värdträd och olikåldriga bestånd med grov ek i hagmarks- och skogsmiljö sparas. För att säkerställa ekberoende arter på lång sikt måste fler bestånd med ek skyddas och skötas så att träden erhåller grova dimensioner och hög ålder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Oxtungssvamp (NT)</w:t>
      </w:r>
      <w:r>
        <w:t xml:space="preserve"> växer nästan uteslutande på flerhundraåriga jätteekar i kulturlandskapet, till exempel i ekhagar och vid vägkanter, men kan även leva kvar på dess träd i mer slutna bestånd. Arten hotas av avverkning av värdträd och passande värdträd runt fyndplatserna samt av att olikåldriga bestånd med grov ek i hagmarks- och skogsmiljö avverkas (SLU Artdatabanken, 2024; Nitare &amp; Skogsstyrelsen, 2019).</w:t>
      </w:r>
    </w:p>
    <w:p>
      <w:r>
        <w:rPr>
          <w:b/>
        </w:rPr>
        <w:t xml:space="preserve">Parknål (NT) </w:t>
      </w:r>
      <w:r>
        <w:t>växer söder om Dalälven på gamla ädellövträd och i norra Sverige på mycket gamla sälgar i skogar med hög och jämn luftfuktighet. Ofta förekommer den tillsammans med andra rödlistade knappnålslavar. Lämpliga träd nyskapas i begränsad omfattning. Spara grova träd, restaurera hag- och slåttermarker och öppna runt grova ekar som nu är kraftigt beskuggade. Förekomsterna i norra Sverige måste skyddas (SLU Artdatabanken, 2025).</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 xml:space="preserve">Skeppsvarvsfluga (NT) </w:t>
      </w:r>
      <w:r>
        <w:t>är en skalbagge vars larvutveckling sker i solexponerad hård ved av stående döda eller levande lövträd, i norra Europa endast ek, i Central- och Sydeuropa även bok och kastanj. Fullbildade skalbaggar påträffas under högsommaren, ofta flygande runt lämpliga värdträd varma eftermiddagar. Arten påverkas negativt av brist på död ved och en minskning av populationen pågår eller förväntas ske. Minskningen avser kvalitén på artens habitat (SLU Artdatabanken, 2025).</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aspfjädermossa (VU, T), blekticka (NT, T), brunpudrad nållav (NT, T), ekticka (NT, T), lunglav (NT, T), rödbrun blekspik (NT, T), vedtrappmossa (NT, T), vårärt (NT, T), bårdlav (S, T), fällmossa (S, T), guldlockmossa (S, T), gulnål (S, T), gulpudrad spiklav (S, T), kornknutmossa (S, T), luddlav (S, T), myskmadra (S, T), platt fjädermossa (S, T), rostfläck (S, T), sotlav (S, T), tibast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