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614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61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28 naturvårdsarter, varav 18 är rödlistade, 1 är fridlyst, 10 är typiska (T) och 9 är signalarter (S): spricktaggsvamp (EN), grangråticka (VU, T), gul taggsvamp (VU, T), dofttaggsvamp (NT, T), fjällig taggsvamp s.str. (NT), grantaggsvamp (NT), gultoppig fingersvamp (NT), kandelabersvamp (NT, T), motaggsvamp (NT, T), orange taggsvamp (NT, T), skarp dropptaggsvamp (NT), svartvit taggsvamp (NT), tallriska (NT), tjockfotad fingersvamp (NT), ullticka (NT, T), vit vedfingersvamp (NT), vågticka (NT), ängsskära (NT), blomkålssvamp (S), blåmossa (S, T), brandticka (S), diskvaxskivling (S), grovticka (S, T), guldkremla (S), hasselticka (S, T), igelkottsröksvamp (S),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