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19793-2024 i Södertälje kommun</w:t>
      </w:r>
    </w:p>
    <w:p>
      <w:r>
        <w:t>Detta dokument behandlar höga naturvärden i avverkningsanmälan A 19793-2024 i Södertälje kommun. Denna avverkningsanmälan inkom 2024-05-20 00:00:00 och omfattar 4,1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fjällig taggsvamp s.str.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44482"/>
            <wp:docPr id="1" name="Picture 1"/>
            <wp:cNvGraphicFramePr>
              <a:graphicFrameLocks noChangeAspect="1"/>
            </wp:cNvGraphicFramePr>
            <a:graphic>
              <a:graphicData uri="http://schemas.openxmlformats.org/drawingml/2006/picture">
                <pic:pic>
                  <pic:nvPicPr>
                    <pic:cNvPr id="0" name="A 19793-2024 karta.png"/>
                    <pic:cNvPicPr/>
                  </pic:nvPicPr>
                  <pic:blipFill>
                    <a:blip r:embed="rId16"/>
                    <a:stretch>
                      <a:fillRect/>
                    </a:stretch>
                  </pic:blipFill>
                  <pic:spPr>
                    <a:xfrm>
                      <a:off x="0" y="0"/>
                      <a:ext cx="5486400" cy="53444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6555154, E 638888 i SWEREF 99 TM.</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