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2590-2025 i Södertälje kommun</w:t>
      </w:r>
    </w:p>
    <w:p>
      <w:r>
        <w:t>Detta klagomål behandlar höga naturvärden i samrådsanmälan S 2590-2025 i Södertälje kommun som inkom 2025-09-16 och omfattar 2,8 ha.</w:t>
      </w:r>
    </w:p>
    <w:p>
      <w:pPr>
        <w:pStyle w:val="Caption"/>
      </w:pPr>
      <w:r>
        <w:drawing>
          <wp:inline xmlns:a="http://schemas.openxmlformats.org/drawingml/2006/main" xmlns:pic="http://schemas.openxmlformats.org/drawingml/2006/picture">
            <wp:extent cx="5486400" cy="5109716"/>
            <wp:docPr id="1" name="Picture 1"/>
            <wp:cNvGraphicFramePr>
              <a:graphicFrameLocks noChangeAspect="1"/>
            </wp:cNvGraphicFramePr>
            <a:graphic>
              <a:graphicData uri="http://schemas.openxmlformats.org/drawingml/2006/picture">
                <pic:pic>
                  <pic:nvPicPr>
                    <pic:cNvPr id="0" name="S 2590-2025 karta.png"/>
                    <pic:cNvPicPr/>
                  </pic:nvPicPr>
                  <pic:blipFill>
                    <a:blip r:embed="rId16"/>
                    <a:stretch>
                      <a:fillRect/>
                    </a:stretch>
                  </pic:blipFill>
                  <pic:spPr>
                    <a:xfrm>
                      <a:off x="0" y="0"/>
                      <a:ext cx="5486400" cy="51097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6556241, E 636614 i SWEREF 99 TM.</w:t>
      </w:r>
    </w:p>
    <w:p>
      <w:r>
        <w:t>I och inom 24 meter från samrådsanmälan finns fynd av 31 naturvårdsarter, varav 15 är rödlistade, 2 är fridlysta, 21 är typiska (T) och 14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fällmossa (S, T), guldlockmossa (S, T), gulnål (S, T), gulpudrad spiklav (S, T), kornknutmossa (S, T), luddlav (S, T), myskmadra (S, T), platt fjädermossa (S, T), rostfläck (S, T), sotlav (S, T), tibast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