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21726-2025 i Södertälje kommun</w:t>
      </w:r>
    </w:p>
    <w:p>
      <w:r>
        <w:t>Detta dokument behandlar höga naturvärden i avverkningsanmälan A 21726-2025 i Södertälje kommun. Denna avverkningsanmälan inkom 2025-05-06 13:39:40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druvfingersvamp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21726-2025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6549681, E 634503 i SWEREF 99 TM.</w:t>
      </w:r>
    </w:p>
    <w:p>
      <w:r>
        <w:rPr>
          <w:b/>
        </w:rPr>
        <w:t xml:space="preserve">Druvfingersvamp (NT) </w:t>
      </w:r>
      <w:r>
        <w:t>växer i skogar med lång skoglig kontinuitet och uppträder gärna på ytor med tunna humuslager och blottad mineraljord, t.ex. i sluttningar eller i närheten av stigar. Den är placerad högst upp i Skogsstyrelsens värdepyramid för bedömning av skog med höga naturvärden och all form av skogsavverkning innebär hot. Arten tål inte en slutavverkning och lokalerna bör undantas från rationella skogsbruksmetoder och inkluderas i formellt skyddad skog. Druvfingersvampar utgör en liten grupp snarlika arter, vilka utgör ett artkomplex som är under utredning. Gruppen omfattar minst fem olika arter i Sverige, men tills vidare behandlas druvfingersvamp här i en klassisk kollektiv bemärkelse som en enda art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