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59863-2022 i Södertälje kommun</w:t>
      </w:r>
    </w:p>
    <w:p>
      <w:r>
        <w:t>Detta klagomål behandlar höga naturvärden i avverkningsanmälan A 59863-2022 i Södertälje kommun som inkom 2022-12-06 och omfattar 15,0 ha.</w:t>
      </w:r>
    </w:p>
    <w:p>
      <w:pPr>
        <w:pStyle w:val="Caption"/>
      </w:pPr>
      <w:r>
        <w:drawing>
          <wp:inline xmlns:a="http://schemas.openxmlformats.org/drawingml/2006/main" xmlns:pic="http://schemas.openxmlformats.org/drawingml/2006/picture">
            <wp:extent cx="5066149" cy="5724000"/>
            <wp:docPr id="1" name="Picture 1"/>
            <wp:cNvGraphicFramePr>
              <a:graphicFrameLocks noChangeAspect="1"/>
            </wp:cNvGraphicFramePr>
            <a:graphic>
              <a:graphicData uri="http://schemas.openxmlformats.org/drawingml/2006/picture">
                <pic:pic>
                  <pic:nvPicPr>
                    <pic:cNvPr id="0" name="A 59863-2022 karta.png"/>
                    <pic:cNvPicPr/>
                  </pic:nvPicPr>
                  <pic:blipFill>
                    <a:blip r:embed="rId16"/>
                    <a:stretch>
                      <a:fillRect/>
                    </a:stretch>
                  </pic:blipFill>
                  <pic:spPr>
                    <a:xfrm>
                      <a:off x="0" y="0"/>
                      <a:ext cx="5066149"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6568732, E 646287 i SWEREF 99 TM.</w:t>
      </w:r>
    </w:p>
    <w:p>
      <w:r>
        <w:t>I och inom 25 meter från avverkningsanmälan finns fynd av 28 naturvårdsarter, varav 18 är rödlistade, 1 är fridlyst, 10 är typiska (T) och 9 är signalarter (S): spricktaggsvamp (EN), grangråticka (VU, T), gul taggsvamp (VU, T), dofttaggsvamp (NT, T), fjällig taggsvamp s.str. (NT), grantaggsvamp (NT), gultoppig fingersvamp (NT), kandelabersvamp (NT, T), motaggsvamp (NT, T), orange taggsvamp (NT, T), skarp dropptaggsvamp (NT), svartvit taggsvamp (NT), tallriska (NT), tjockfotad fingersvamp (NT), ullticka (NT, T), vit vedfingersvamp (NT), vågticka (NT), ängsskära (NT), blomkålssvamp (S), blåmossa (S, T), brandticka (S), diskvaxskivling (S), grovticka (S, T), guldkremla (S), hasselticka (S, T), igelkottsröksvamp (S), toppvaxing (S) och vanlig groda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Spricktaggsvamp (EN) </w:t>
      </w:r>
      <w:r>
        <w:t>är en sällsynt och starkt hotad ”toppart” som indikerar starkt skyddsvärda kalkgranskogar. Den ingår i ett åtgärdsprogram för hotade arter (ÅGP) och är placerad högst upp i Skogsstyrelsens värdepyramid för bedömning av skog med höga naturvärden. Arten hotas främst av avverkning och andra skogsbruksåtgärder och tål inte en slutavverkning utan kräver ett kontinuerligt äldre trädskikt med gran. Skogsområden med spricktaggsvamp bör skyddas och undantas från rationellt skogsbruk (SLU Artdatabanken, 2026; Nitare &amp; Skogsstyrelsen, 2019; Nitare, 2006).</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Grangråticka är typisk art för </w:t>
      </w:r>
      <w:r>
        <w:rPr>
          <w:i/>
        </w:rPr>
        <w:t>9050 Näringsrik granskog</w:t>
      </w:r>
      <w:r>
        <w:t xml:space="preserve"> (SLU Artdatabanken, 2024; Nitare &amp; Skogsstyrelsen, 2019).</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 vedfingersvamp (NT)</w:t>
      </w:r>
      <w:r>
        <w:t xml:space="preserve"> växer på murken lövved, främst grova och barklösa asplågor. Svampen indikerar sena aspsuccessioner inom områden med konstant hög luftfuktighet. Raviner, bergrötter och liknande platser med skuggiga förhållanden och fuktig mark med ett stort inslag av lövträd är exempel på biotoper där vit vedfingersvamp ofta växer och dessa bör undantas från skogsbruk (SLU Artdatabanken, 2024; Nitare &amp; Skogsstyrelsen, 2019).</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 xml:space="preserve">Igelkottsröksvamp </w:t>
      </w:r>
      <w:r>
        <w:t>är överallt en bra signalart på skyddsvärda ädellövskogar och lövlundar. Svampen är kalkgynnad och indikerar lokalklimatiskt varma men samtidigt relativt fuktiga lövskogar. Växtmiljön utgörs vanligtvis av äldre successionsstadier inom områden med långvarig trädkontinuitet och lokalerna hyser oftast en rik lundflora med många andra ovanliga och rödlistade arter. Skogsbruk som bryter den skogliga kontinuiteten och förändrade markförhållanden missgynnar arten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27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28 naturvårdsarter varav 18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