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2348-2025 i Södertälje kommun</w:t>
      </w:r>
    </w:p>
    <w:p>
      <w:r>
        <w:t>Denna tillsynsbegäran behandlar höga naturvärden i samrådsanmälan S 2348-2025 i Södertälje kommun som inkom 2025-08-18 och omfattar 2,5 ha.</w:t>
      </w:r>
    </w:p>
    <w:p>
      <w:pPr>
        <w:pStyle w:val="Caption"/>
      </w:pPr>
      <w:r>
        <w:drawing>
          <wp:inline xmlns:a="http://schemas.openxmlformats.org/drawingml/2006/main" xmlns:pic="http://schemas.openxmlformats.org/drawingml/2006/picture">
            <wp:extent cx="5486400" cy="5328193"/>
            <wp:docPr id="1" name="Picture 1"/>
            <wp:cNvGraphicFramePr>
              <a:graphicFrameLocks noChangeAspect="1"/>
            </wp:cNvGraphicFramePr>
            <a:graphic>
              <a:graphicData uri="http://schemas.openxmlformats.org/drawingml/2006/picture">
                <pic:pic>
                  <pic:nvPicPr>
                    <pic:cNvPr id="0" name="S 2348-2025 karta.png"/>
                    <pic:cNvPicPr/>
                  </pic:nvPicPr>
                  <pic:blipFill>
                    <a:blip r:embed="rId16"/>
                    <a:stretch>
                      <a:fillRect/>
                    </a:stretch>
                  </pic:blipFill>
                  <pic:spPr>
                    <a:xfrm>
                      <a:off x="0" y="0"/>
                      <a:ext cx="5486400" cy="5328193"/>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6556245, E 636604 i SWEREF 99 TM.</w:t>
      </w:r>
    </w:p>
    <w:p>
      <w:r>
        <w:t>I och inom 18 meter från samrådsanmälan finns fynd av 29 naturvårdsarter, varav 15 är rödlistade, 2 är fridlysta, 19 är typiska (T) och 12 är signalarter (S): ask (EN), skogsalm (EN), aspfjädermossa (VU, T), ekpricklav (VU), blekticka (NT, T), brunpudrad nållav (NT, T), ekticka (NT, T), korallticka (NT), lunglav (NT, T), oxtungssvamp (NT), parknål (NT), rödbrun blekspik (NT, T), skeppsvarvsfluga (NT), vedtrappmossa (NT, T), vårärt (NT, T), brun nållav (S), bårdlav (S, T), dvärgtufs (S), guldlockmossa (S, T), gulpudrad spiklav (S, T), kornknutmossa (S, T), luddlav (S, T), myskmadra (S, T), platt fjädermossa (S, T), rostfläck (S, T), sotlav (S, T), tibast (S, T), blåsippa (T, §9)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Ekpricklav (VU)</w:t>
      </w:r>
      <w:r>
        <w:t xml:space="preserve"> växer främst på mycket gamla ekar med grov sprickbark i skogsmiljöer med hög och jämn luftfuktighet. Arten förekommer inte i öppna ekhagar. Denna typ av ekar är sällsynta och nyskapas i mycket begränsad omfattning. Lämpliga biotoper måste bevaras och ett tillräckligt antal unga träd måste tillåtas bli mycket gamla för att på lång sikt ersätta de nuvarande gammelträden. På ekpricklav kan den mycket sällsynta svartspiken </w:t>
      </w:r>
      <w:r>
        <w:rPr>
          <w:i/>
        </w:rPr>
        <w:t>Chaenothecopsis retinens</w:t>
      </w:r>
      <w:r>
        <w:t xml:space="preserve"> (DD) påträffas (SLU Artdatabanken, 2026).</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Skeppsvarvsfluga (NT) </w:t>
      </w:r>
      <w:r>
        <w:t>är en skalbagge vars larvutveckling sker i solexponerad hård ved av stående döda eller levande lövträd, i norra Europa endast ek, i Central- och Sydeuropa även bok och kastanj. Fullbildade skalbaggar påträffas under högsommaren, ofta flygande runt lämpliga värdträd varma eftermiddagar. Arten påverkas negativt av brist på död ved och en minskning av populationen pågår eller förväntas ske. Minskningen avser kvalitén på artens habitat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aspfjädermossa (VU, T), blekticka (NT, T), brunpudrad nållav (NT, T), ekticka (NT, T), lunglav (NT, T), rödbrun blekspik (NT, T), vedtrappmossa (NT, T), vårärt (NT, T), bårdlav (S, T), guldlockmossa (S, T), gulpudrad spiklav (S, T), kornknutmossa (S, T), luddlav (S, T), myskmadra (S, T), platt fjädermossa (S, T), rostfläck (S, T), sotlav (S, T), tibast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