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44309-2025 i Södertälje kommun</w:t>
      </w:r>
    </w:p>
    <w:p>
      <w:r>
        <w:t>Detta dokument behandlar höga naturvärden i avverkningsanmälan A 44309-2025 i Södertälje kommun. Denna avverkningsanmälan inkom 2025-09-16 09:09:03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21 naturvårdsarter hittats: skogsalm (CR), ask (EN), aspfjädermossa (VU), brunpudrad nållav (NT), ekticka (NT), korallticka (NT), lunglav (NT), oxtungssvamp (NT), rödbrun blekspik (NT), skeppsvarvsfluga (NT), vedtrappmossa (NT), bårdlav (S), dvärgtufs (S), gulnål (S), luddlav (S), myskmadra (S), rostfläck (S), tibast (S), vårärt (S), blåsippa (§9) och lopplummer (aggregat) (§9).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78306"/>
            <wp:docPr id="1" name="Picture 1"/>
            <wp:cNvGraphicFramePr>
              <a:graphicFrameLocks noChangeAspect="1"/>
            </wp:cNvGraphicFramePr>
            <a:graphic>
              <a:graphicData uri="http://schemas.openxmlformats.org/drawingml/2006/picture">
                <pic:pic>
                  <pic:nvPicPr>
                    <pic:cNvPr id="0" name="A 44309-2025 karta.png"/>
                    <pic:cNvPicPr/>
                  </pic:nvPicPr>
                  <pic:blipFill>
                    <a:blip r:embed="rId16"/>
                    <a:stretch>
                      <a:fillRect/>
                    </a:stretch>
                  </pic:blipFill>
                  <pic:spPr>
                    <a:xfrm>
                      <a:off x="0" y="0"/>
                      <a:ext cx="5486400" cy="34783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6556241, E 636614 i SWEREF 99 TM.</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Aspfjädermossa (VU)</w:t>
      </w:r>
      <w:r>
        <w:t xml:space="preserve"> är knuten till gamla skogar, framförallt på näringsrik, högproduktiv mark där den växer på bark av främst ask, lönn och asp. Arten är placerad högst upp i Skogsstyrelsens värdepyramid för bedömning av skog med höga naturvärden. Samtliga lokaler måste ges ett ändamålsenligt skydd och ett urval förekomster bör övervakas för att följa populationens status. Aspfjädermossa är typisk art för </w:t>
      </w:r>
      <w:r>
        <w:rPr>
          <w:i/>
        </w:rPr>
        <w:t>9010 Taiga</w:t>
      </w:r>
      <w:r>
        <w:t xml:space="preserve"> (SLU Artdatabanken, 2024; Nitare &amp; Skogsstyrelsen, 2019).</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Ekticka (NT)</w:t>
      </w:r>
      <w:r>
        <w:t xml:space="preserve"> påträffas i löv- och blandskog och hagmark där den växer på levande oftast äldre eller senvuxna ekar. Minskningstakten för den svenska populationen har uppgått till 15 % under de senaste 50 åren och bedöms vara nära gränsvärdet för Sårbar (VU). Ekticka är typisk art för </w:t>
      </w:r>
      <w:r>
        <w:rPr>
          <w:i/>
        </w:rPr>
        <w:t xml:space="preserve">9020 Nordlig ädellövskog </w:t>
      </w:r>
      <w:r>
        <w:t>(SLU Artdatabanken, 2025).</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Korallticka (NT)</w:t>
      </w:r>
      <w:r>
        <w:t xml:space="preserve"> visar på gamla ekar och lövskogsområden med gamla träd som har höga naturvärden. Värdträd, passande värdträd och olikåldriga bestånd med grov ek i hagmarks- och skogsmiljö sparas. För att säkerställa ekberoende arter på lång sikt måste fler bestånd med ek skyddas och skötas så att träden erhåller grova dimensioner och hög ålder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Myskmadra </w:t>
      </w:r>
      <w:r>
        <w:t xml:space="preserve">är en bra signalart i hela sitt utbredningsområde i såväl lövskogar, lundar som kalkbarrskogar. Särskilt kräsen tycks den vara i norra delen av sitt utbredningsområde. Många naturliga växtplatser är av reliktkaraktär och växten indikerar här långvarig ekologisk kontinuitet. Arten är känslig för såväl hårt bete som dagens storskaliga skogsbruksmetoder. Myskmadra är typisk art för </w:t>
      </w:r>
      <w:r>
        <w:rPr>
          <w:i/>
        </w:rPr>
        <w:t xml:space="preserve">9050 Näringsrik granskog, 9020 Nordlig ädellövskog, 9130 Näringsrik bokskog </w:t>
      </w:r>
      <w:r>
        <w:t xml:space="preserve">och </w:t>
      </w:r>
      <w:r>
        <w:rPr>
          <w:i/>
        </w:rPr>
        <w:t xml:space="preserve">9160 Näringsrik ekskog </w:t>
      </w:r>
      <w:r>
        <w:t>(Nitare &amp; Skogsstyrelsen, 2019; SLU Artdatabanken, 2025).</w:t>
      </w:r>
    </w:p>
    <w:p>
      <w:r>
        <w:rPr>
          <w:b/>
        </w:rPr>
        <w:t>Oxtungssvamp (NT)</w:t>
      </w:r>
      <w:r>
        <w:t xml:space="preserve"> växer nästan uteslutande på flerhundraåriga jätteekar i kulturlandskapet, till exempel i ekhagar och vid vägkanter, men kan även leva kvar på dess träd i mer slutna bestånd. Arten hotas av avverkning av värdträd och passande värdträd runt fyndplatserna samt av att olikåldriga bestånd med grov ek i hagmarks- och skogsmiljö avverkas (SLU Artdatabanken, 2024; Nitare &amp; Skogsstyrelsen, 2019).</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 xml:space="preserve">Skeppsvarvsfluga (NT) </w:t>
      </w:r>
      <w:r>
        <w:t>är en skalbagge vars larvutveckling sker i solexponerad hård ved av stående döda eller levande lövträd, i norra Europa endast ek, i Central- och Sydeuropa även bok och kastanj. Fullbildade skalbaggar påträffas under högsommaren, ofta flygande runt lämpliga värdträd varma eftermiddagar. Arten påverkas negativt av brist på död ved och en minskning av populationen pågår eller förväntas ske. Minskningen avser kvalitén på artens habitat (SLU Artdatabanken, 2025).</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pPr>
        <w:pStyle w:val="Heading1"/>
      </w:pPr>
      <w:r>
        <w:t>Fridlysta arter</w:t>
      </w:r>
    </w:p>
    <w:p>
      <w:r>
        <w:t>Följande fridlysta arter har sina livsmiljöer och växtplatser i den avverkningsanmälda skogen: blåsippa (§9) och lopplummer (aggregat)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