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18280-2021 i Nacka kommun</w:t>
      </w:r>
    </w:p>
    <w:p>
      <w:r>
        <w:t>Detta dokument behandlar höga naturvärden i avverkningsanmälan A 18280-2021 i Nacka kommun. Denna avverkningsanmälan inkom 2021-04-12 00:00:00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druvfingersvampar (NT), duvhök (NT, §4), granbarkgnagare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18280-2021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6574073, E 682974 i SWEREF 99 TM.</w:t>
      </w:r>
    </w:p>
    <w:p>
      <w:r>
        <w:rPr>
          <w:b/>
        </w:rPr>
        <w:t xml:space="preserve">Druvfingersvampar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Fridlysta arter</w:t>
      </w:r>
    </w:p>
    <w:p>
      <w:r>
        <w:t>Följande fridlysta arter har sina livsmiljöer och växtplatser i den avverkningsanmälda skogen: duvhök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(NT), har minskat med 22 (0–48)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2021;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