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45510-2020 i Nacka kommun</w:t>
      </w:r>
    </w:p>
    <w:p>
      <w:r>
        <w:t>Detta dokument behandlar höga naturvärden i avverkningsanmälan A 45510-2020 i Nacka kommun. Denna avverkningsanmälan inkom 2020-09-15 00:00:00 och omfattar 5,6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6 naturvårdsarter hittats: björktrast (NT, §4), mindre hackspett (NT, §4), spillkråka (NT, §4), skogsduva (§4), törnskata (§4) och huggorm (§6).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68879"/>
            <wp:docPr id="1" name="Picture 1"/>
            <wp:cNvGraphicFramePr>
              <a:graphicFrameLocks noChangeAspect="1"/>
            </wp:cNvGraphicFramePr>
            <a:graphic>
              <a:graphicData uri="http://schemas.openxmlformats.org/drawingml/2006/picture">
                <pic:pic>
                  <pic:nvPicPr>
                    <pic:cNvPr id="0" name="A 45510-2020 karta.png"/>
                    <pic:cNvPicPr/>
                  </pic:nvPicPr>
                  <pic:blipFill>
                    <a:blip r:embed="rId16"/>
                    <a:stretch>
                      <a:fillRect/>
                    </a:stretch>
                  </pic:blipFill>
                  <pic:spPr>
                    <a:xfrm>
                      <a:off x="0" y="0"/>
                      <a:ext cx="5486400" cy="33688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6573995, E 685304 i SWEREF 99 TM.</w:t>
      </w:r>
    </w:p>
    <w:p>
      <w:pPr>
        <w:pStyle w:val="Heading1"/>
      </w:pPr>
      <w:r>
        <w:t>Fridlysta arter</w:t>
      </w:r>
    </w:p>
    <w:p>
      <w:r>
        <w:t>Följande fridlysta arter har sina livsmiljöer och växtplatser i den avverkningsanmälda skogen: björktrast (NT, §4), mindre hackspett (NT, §4), spillkråka (NT, §4), skogsduva (§4), törnskata (§4) och huggorm (§6).</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(SLU Artdatabanken, 2021 &amp; Skogsstyrelsen, 2016).</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Mindre hackspett – ekologi samt krav på livsmiljön</w:t>
      </w:r>
    </w:p>
    <w:p>
      <w:r>
        <w:t>Mindre hackspett (NT) är rödlistad som nära hotad, fridlyst och prioriterad art i Skogsvårdslagen.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