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52776-2025 i Norrtälje kommun</w:t>
      </w:r>
    </w:p>
    <w:p>
      <w:r>
        <w:t>Denna tillsynsbegäran behandlar höga naturvärden i avverkningsanmälan A 52776-2025 i Norrtälje kommun som inkom 2025-10-27 och omfattar 2,5 ha.</w:t>
      </w:r>
    </w:p>
    <w:p>
      <w:pPr>
        <w:pStyle w:val="Caption"/>
      </w:pPr>
      <w:r>
        <w:drawing>
          <wp:inline xmlns:a="http://schemas.openxmlformats.org/drawingml/2006/main" xmlns:pic="http://schemas.openxmlformats.org/drawingml/2006/picture">
            <wp:extent cx="5323375" cy="5724000"/>
            <wp:docPr id="1" name="Picture 1"/>
            <wp:cNvGraphicFramePr>
              <a:graphicFrameLocks noChangeAspect="1"/>
            </wp:cNvGraphicFramePr>
            <a:graphic>
              <a:graphicData uri="http://schemas.openxmlformats.org/drawingml/2006/picture">
                <pic:pic>
                  <pic:nvPicPr>
                    <pic:cNvPr id="0" name="A 52776-2025 karta.png"/>
                    <pic:cNvPicPr/>
                  </pic:nvPicPr>
                  <pic:blipFill>
                    <a:blip r:embed="rId16"/>
                    <a:stretch>
                      <a:fillRect/>
                    </a:stretch>
                  </pic:blipFill>
                  <pic:spPr>
                    <a:xfrm>
                      <a:off x="0" y="0"/>
                      <a:ext cx="5323375" cy="572400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6636250, E 679445 i SWEREF 99 TM.</w:t>
      </w:r>
    </w:p>
    <w:p>
      <w:r>
        <w:t>Inom 8 meter från avverkningsanmälan finns fynd av 3 naturvårdsarter, varav 3 är fridlysta: slaguggla (§4), sångsvan (§4)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Slaguggla (§4)</w:t>
      </w:r>
      <w:r>
        <w:t xml:space="preserve"> är fridlyst enligt 4 § artskyddsförordningen och ingår i bilaga 1 EU:s fågeldirektiv.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Slaguggla – ekologi samt krav på livsmiljön</w:t>
      </w:r>
    </w:p>
    <w:p>
      <w:r>
        <w:t>Slaguggla (§4) är fridlyst enligt 4§ artskyddsförordningen, upptagen i bilaga 1 EU:s fågeldirektiv och bilaga 2 Bernkonventionen samt finns med som prioriterad art i Skogsstyrelsens vägledning för skogsbruket (SKSFS 2011:7). Den häckar i skogsmark, oftast i anslutning till myrar, hyggen och inägor. Arten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2026).</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