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43 naturvårdsarter, varav 17 är rödlistade, 18 är fridlysta, 21 är typiska (T) och 14 är signalarter (S): ask (EN), skogsalm (EN), grönfink (VU, §4), gulvit blekspik (VU, T), stare (VU, §4), adam och eva (NT, §8), blåhake (NT, §4), ekticka (NT, T), entita (NT, T, §4), järnsparv (NT, §4), ladusvala (NT, §4), lunglav (NT, T), mindre hackspett (NT, T, §4), oxtungssvamp (NT), tallticka (NT, T), vårärt (NT, T), älg (NT), barkticka (S, T), brandticka (S), fällmossa (S, T), guldlockmossa (S, T), hasselticka (S, T), igelkottsröksvamp (S), liten baronmossa (S, T), lönnlav (S), mörk husmossa (S, T), platt fjädermossa (S, T), stubbspretmossa (S, T), svart trolldruva (S, T), traslav (S), vätteros (S, T), blåsippa (T, §9), krushättemossa (T), skriftlav (T),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