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43 naturvårdsarter, varav 23 är rödlistade, 8 är fridlysta, 14 är typiska (T) och 16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odörspindling (NT), orange taggsvamp (NT, T), persiljespindling (NT), skarp dropptaggsvamp (NT), såpfingersvamp (NT), talltita (NT, §4), ullticka (NT, T), anisspindling (S), bronshjon (S, T), diskvaxskivling (S), granbarkgnagare (S, T), grön sköldmossa (S, T, §8), guldkremla (S), kamjordstjärna (S), nästrot (S, §8), olivspindling (S), rödgul trumpetsvamp (S), skogsknipprot (S, T, §8), strimspindling (S), stubbspretmossa (S, T), svavelriska (S), vågbandad barkbock (S), zontaggsvamp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granbarkgnagare (S, T), grön sköldmossa (S, T, §8), skogsknipprot (S, T, §8),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