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17645-2026 i Norrtälje kommun</w:t>
      </w:r>
    </w:p>
    <w:p>
      <w:r>
        <w:t>Denna tillsynsbegäran behandlar höga naturvärden i avverkningsanmälan A 17645-2026 i Norrtälje kommun som inkom 2026-04-09 och omfattar 8,2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A 17645-2026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6643776, E 696753 i SWEREF 99 TM.</w:t>
      </w:r>
    </w:p>
    <w:p>
      <w:r>
        <w:t>I och inom 25 meter från avverkningsanmälan finns fynd av 34 naturvårdsarter, varav 18 är rödlistade, 9 är fridlysta, 20 är typiska (T) och 8 är signalarter (S): koboltspindling (EN), skogsalm (EN), aspgelélav (VU, T), grangråticka (VU, T), knärot (VU, T, §8), kopparspindling (VU), läderdoftande fingersvamp (VU), barrfagerspindling (NT), fjällig taggsvamp s.str. (NT), järnsparv (NT, §4), motaggsvamp (NT, T), persiljespindling (NT), skarp dropptaggsvamp (NT), sårläka (NT, T), tallticka (NT, T), ullticka (NT, T), vit vedfingersvamp (NT), vårärt (NT, T), barkticka (S, T), grönpyrola (S, T), guldlockmossa (S, T), mörk husmossa (S, T), platt fjädermossa (S, T), skogsknipprot (S, T, §8), stor aspticka (S, T), svavelriska (S), blåsippa (T, §9), kransmossa (T), ormbär (T), spillkråka (T, §4), tofsmes (T, §4), grönsiska (§4), kungsfågel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Koboltspindling (EN)</w:t>
      </w:r>
      <w:r>
        <w:t xml:space="preserve"> är en starkt hotad art som bildar mykorrhiza med gran i kalkbarrskog. Huvudsakligen knuten till äldre skog på frisk till fuktig mark. Få bekräftade fynd i landet, från Dalarna och Uppland. Den totala populationen i landet bedöms vara liten, ha minskat och förväntas fortsätta minska på grund av slutavverkning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(SLU Artdatabanken, 2026).</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50 fyndplatser för knärot registrerade på Artportalen. Figur 2 visar gränserna för buffertzoner på 50 m, som behöver lämnas kring fyndplatserna för att knärotslokalerna inte ska försvinna vid en avverkning. Av det avverkningsanmälda området överlappar 5.74 ha med buffertzonerna och får av detta skäl inte avverkas.</w:t>
      </w:r>
    </w:p>
    <w:p>
      <w:pPr>
        <w:pStyle w:val="Caption"/>
      </w:pPr>
      <w:r>
        <w:drawing>
          <wp:inline xmlns:a="http://schemas.openxmlformats.org/drawingml/2006/main" xmlns:pic="http://schemas.openxmlformats.org/drawingml/2006/picture">
            <wp:extent cx="5486400" cy="4291081"/>
            <wp:docPr id="2" name="Picture 2"/>
            <wp:cNvGraphicFramePr>
              <a:graphicFrameLocks noChangeAspect="1"/>
            </wp:cNvGraphicFramePr>
            <a:graphic>
              <a:graphicData uri="http://schemas.openxmlformats.org/drawingml/2006/picture">
                <pic:pic>
                  <pic:nvPicPr>
                    <pic:cNvPr id="0" name="A 17645-2026 karta knärot.png"/>
                    <pic:cNvPicPr/>
                  </pic:nvPicPr>
                  <pic:blipFill>
                    <a:blip r:embed="rId17"/>
                    <a:stretch>
                      <a:fillRect/>
                    </a:stretch>
                  </pic:blipFill>
                  <pic:spPr>
                    <a:xfrm>
                      <a:off x="0" y="0"/>
                      <a:ext cx="5486400" cy="42910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6643776, E 696753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grangråticka (VU, T), knärot (VU, T, §8), motaggsvamp (NT, T), sårläka (NT, T), tallticka (NT, T), ullticka (NT, T), vårärt (NT, T), barkticka (S, T), grönpyrola (S, T), guldlockmossa (S, T), mörk husmossa (S, T), platt fjädermossa (S, T), skogsknipprot (S, T, §8), stor aspticka (S, T), blåsippa (T, §9), kransmossa (T), ormbär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