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25731-2025 i Norrtälje kommun</w:t>
      </w:r>
    </w:p>
    <w:p>
      <w:r>
        <w:t>Denna tillsynsbegäran behandlar höga naturvärden i avverkningsanmälan A 25731-2025 i Norrtälje kommun som inkom 2025-05-23 och omfattar 11,9 ha.</w:t>
      </w:r>
    </w:p>
    <w:p>
      <w:pPr>
        <w:pStyle w:val="Caption"/>
      </w:pPr>
      <w:r>
        <w:drawing>
          <wp:inline xmlns:a="http://schemas.openxmlformats.org/drawingml/2006/main" xmlns:pic="http://schemas.openxmlformats.org/drawingml/2006/picture">
            <wp:extent cx="5408065" cy="5724000"/>
            <wp:docPr id="1" name="Picture 1"/>
            <wp:cNvGraphicFramePr>
              <a:graphicFrameLocks noChangeAspect="1"/>
            </wp:cNvGraphicFramePr>
            <a:graphic>
              <a:graphicData uri="http://schemas.openxmlformats.org/drawingml/2006/picture">
                <pic:pic>
                  <pic:nvPicPr>
                    <pic:cNvPr id="0" name="A 25731-2025 karta.png"/>
                    <pic:cNvPicPr/>
                  </pic:nvPicPr>
                  <pic:blipFill>
                    <a:blip r:embed="rId16"/>
                    <a:stretch>
                      <a:fillRect/>
                    </a:stretch>
                  </pic:blipFill>
                  <pic:spPr>
                    <a:xfrm>
                      <a:off x="0" y="0"/>
                      <a:ext cx="5408065" cy="5724000"/>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6617348, E 695968 i SWEREF 99 TM.</w:t>
      </w:r>
    </w:p>
    <w:p>
      <w:r>
        <w:t>I och inom 21 meter från avverkningsanmälan finns fynd av 31 naturvårdsarter, varav 13 är rödlistade, 8 är fridlysta, 18 är typiska (T) och 10 är signalarter (S): garnlav (VU, T), knärot (VU, T, §8), stor odörspindling (VU), dropptaggsvamp (NT, T), fjällig taggsvamp s.str. (NT), flattoppad klubbsvamp (NT), kattfotslav (NT, T), motaggsvamp (NT, T), orange taggsvamp (NT, T), stjärntagging (NT, T), tallticka (NT, T), talltita (NT, §4), ullticka (NT, T), anisspindling (S), björksplintborre (S), bollvitmossa (S, T), brandticka (S), diskvaxskivling (S), rödgul trumpetsvamp (S), strimspindling (S), stubbspretmossa (S, T), tibast (S, T), vedticka (S, T), blåsippa (T, §9), brudborste (T), kransmossa (T), spillkråka (T, §4), tjäder (T, §4), kungsfågel (§4), nattviol (§8)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9 fyndplatser för knärot registrerade på Artportalen. Figur 2 visar gränserna för buffertzoner på 50 m, som behöver lämnas kring fyndplatserna för att knärotslokalerna inte ska försvinna vid en avverkning. Av det avverkningsanmälda området överlappar 2.36 ha med buffertzonerna och får av detta skäl inte avverkas.</w:t>
      </w:r>
    </w:p>
    <w:p>
      <w:pPr>
        <w:pStyle w:val="Caption"/>
      </w:pPr>
      <w:r>
        <w:drawing>
          <wp:inline xmlns:a="http://schemas.openxmlformats.org/drawingml/2006/main" xmlns:pic="http://schemas.openxmlformats.org/drawingml/2006/picture">
            <wp:extent cx="5486400" cy="5186628"/>
            <wp:docPr id="2" name="Picture 2"/>
            <wp:cNvGraphicFramePr>
              <a:graphicFrameLocks noChangeAspect="1"/>
            </wp:cNvGraphicFramePr>
            <a:graphic>
              <a:graphicData uri="http://schemas.openxmlformats.org/drawingml/2006/picture">
                <pic:pic>
                  <pic:nvPicPr>
                    <pic:cNvPr id="0" name="A 25731-2025 karta knärot.png"/>
                    <pic:cNvPicPr/>
                  </pic:nvPicPr>
                  <pic:blipFill>
                    <a:blip r:embed="rId17"/>
                    <a:stretch>
                      <a:fillRect/>
                    </a:stretch>
                  </pic:blipFill>
                  <pic:spPr>
                    <a:xfrm>
                      <a:off x="0" y="0"/>
                      <a:ext cx="5486400" cy="5186628"/>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6617348, E 695968 i SWEREF 99 TM.</w:t>
      </w:r>
    </w:p>
    <w:p>
      <w:r>
        <w:rPr>
          <w:b/>
        </w:rPr>
        <w:t xml:space="preserve">Stor odörspindling (VU) </w:t>
      </w:r>
      <w:r>
        <w:t>bildar mykorrhiza med tall och gran i kalktallskog och ängsgranskog, främst i äldre kalkbarrskog. En fortlöpande minskning bedöms pågå p.g.a. slutavverkningar av äldre kontinuitetsbarrskog. Har uppenbart svårt att återetableras efter avverkning. Kända växtplatser bör inte utsättas för omfattande huggningar eller andra kraftiga störningar som förändrar miljön (SLU Artdatabanken, 2025).</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 xml:space="preserve">Flattoppad klubbsvamp (NT) </w:t>
      </w:r>
      <w:r>
        <w:t>bildar mykorrhiza med gran och växer i äldre barrskog på näringsrik, kalkpåverkad mark. Växtmiljön utgörs vanligen av örtrika granskogar med höga naturvärden, gärna påverkade av ytligt och rörligt markvatten. Svampen kräver välutvecklade gamla mossmattor med konstant fuktigt mikroklimat och hotas främst av slutavverkning av äldre ängsgranskogar på näringsrik mark. Artens lokaler bör undantas från skogsbruk (SLU Artdatabanken, 2024).</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Stjärntagging (NT)</w:t>
      </w:r>
      <w:r>
        <w:t xml:space="preserve"> signalerar inom hela sitt utbredningsområde höga naturvärden. Svampen är uttorkningskänslig och beroende av ett oförändrat fuktigt mikroklimat. Den är även beroende av en ständig tillgång på död ved i olika nedbrytningsstadier, dock ej nödvändigtvis grova träd. Tidigare påverkan på miljön måste dock ha varit så skonsam att det naturliga skogsekosystemet till stora delar har bevarats. Minskningstakten för den svenska populationen bedöms vara nära gränsvärdet för Sårbar (VU). Stjärntagging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 xml:space="preserve">Bollvitmossa </w:t>
      </w:r>
      <w:r>
        <w:t xml:space="preserve">är en bra signalart inom hela sitt utbredningsområde. Vanligast är den i naturvårdsintressanta tallsumpskogar. Även gransumpskogar med bollvitmossa har normalt höga naturvärden. Arten indikerar skogsmark med stabila hydrologiska förhållanden och sannolikt även lång skoglig kontinuitet. Bollvitmossa är typisk art för </w:t>
      </w:r>
      <w:r>
        <w:rPr>
          <w:i/>
        </w:rPr>
        <w:t xml:space="preserve">9010 Taiga </w:t>
      </w:r>
      <w:r>
        <w:t xml:space="preserve">och </w:t>
      </w:r>
      <w:r>
        <w:rPr>
          <w:i/>
        </w:rPr>
        <w:t xml:space="preserve">9740 Skogsbevuxen myr </w:t>
      </w:r>
      <w:r>
        <w:t>(SLU Artdatabanken, 2025; Nitare &amp; Skogsstyrelsen, 2019).</w:t>
      </w:r>
    </w:p>
    <w:p>
      <w:r>
        <w:rPr>
          <w:b/>
        </w:rPr>
        <w:t xml:space="preserve">Brandticka </w:t>
      </w:r>
      <w:r>
        <w:t>förekommer främst i olikåldrig fuktig granskog med mycket död ved, ofta i kärrkanter eller vid bäckar på lokaler med hög luftfuktighet. Växer huvudsakligen på grova granlågor, någon enstaka gång på tall, asp eller björk, och verkar knuten till ved som först rötats av klibbticka. Arten var tidigare rödlistad men en sentida ökning, bland annat i barkborreangripna granplanteringar i sydligaste Skandinavien har förändrat hotbilden. Populationen i landet kan påverkas negativt av kalavverkning och ett skogsbruk som innebär att mängden grova granlågor minskar. Även dikning och gallring som leder till ett torrare mikroklimat på växtplatserna kan ha negativ inverkan. För att säkerställa en gynnsam bevarandestatus på sikt bör områdesskydd av artens livsmiljöer upprättas på ett sätt som tryggar livskraftiga populationer på landskapsnivå. Vid skogsbruk bör grov död ved och skyddszoner vid kärr och vattendrag lämnas, och träd tillåtas åldras och dö på ett sätt som skapar kontinuerlig tillgång på livsmiljöer (SLU Artdatabanken, 2025).</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r>
        <w:rPr>
          <w:b/>
        </w:rPr>
        <w:t>Stubbspretmossa</w:t>
      </w:r>
      <w:r>
        <w:t xml:space="preserve"> växer på ved i rika löv- och barrskogar med relativt hög luftfuktighet och indikerar fuktiga skogsmiljöer med gott om murken ved och ofta höga naturvärden. Stubbspretmossa är typisk art för </w:t>
      </w:r>
      <w:r>
        <w:rPr>
          <w:i/>
        </w:rPr>
        <w:t>9020 Nordlig ädellövskog</w:t>
      </w:r>
      <w:r>
        <w:t xml:space="preserve"> (SLU Artdatabanken, 2024).</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Brudborste</w:t>
      </w:r>
      <w:r>
        <w:t xml:space="preserve"> är typisk art för </w:t>
      </w:r>
      <w:r>
        <w:rPr>
          <w:i/>
        </w:rPr>
        <w:t xml:space="preserve">9050 Näringsrik granskog, 9040 Fjällbjörkskog, 6530 Lövängar, 6430 Högörtängar </w:t>
      </w:r>
      <w:r>
        <w:t xml:space="preserve">och </w:t>
      </w:r>
      <w:r>
        <w:rPr>
          <w:i/>
        </w:rPr>
        <w:t>6510 Slåtterängar i låglandet</w:t>
      </w:r>
      <w:r>
        <w:t xml:space="preserve"> (SLU Artdatabanken, 2025).</w:t>
      </w:r>
    </w:p>
    <w:p>
      <w:r>
        <w:rPr>
          <w:b/>
        </w:rPr>
        <w:t>Kransmossa</w:t>
      </w:r>
      <w:r>
        <w:t xml:space="preserve"> är typisk art för </w:t>
      </w:r>
      <w:r>
        <w:rPr>
          <w:i/>
        </w:rPr>
        <w:t xml:space="preserve">9050 Näringsrik granskog </w:t>
      </w:r>
      <w:r>
        <w:t xml:space="preserve">och </w:t>
      </w:r>
      <w:r>
        <w:rPr>
          <w:i/>
        </w:rPr>
        <w:t xml:space="preserve">6170 Alpina kalkgräsmarker </w:t>
      </w:r>
      <w:r>
        <w:t>(SLU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knärot (VU, T, §8), dropptaggsvamp (NT, T), kattfotslav (NT, T), motaggsvamp (NT, T), orange taggsvamp (NT, T), stjärntagging (NT, T), tallticka (NT, T), ullticka (NT, T), bollvitmossa (S, T), stubbspretmossa (S, T), tibast (S, T), vedticka (S, T), blåsippa (T, §9), brudborste (T), kransmossa (T), spillkråka (T, §4)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