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30156-2022 i Norrtälje kommun</w:t>
      </w:r>
    </w:p>
    <w:p>
      <w:r>
        <w:t>Denna tillsynsbegäran behandlar höga naturvärden i avverkningsanmälan A 30156-2022 i Norrtälje kommun som inkom 2022-07-15 och omfattar 4,3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30156-2022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6637494, E 696074 i SWEREF 99 TM.</w:t>
      </w:r>
    </w:p>
    <w:p>
      <w:r>
        <w:t>I avverkningsanmälan finns fynd av 26 naturvårdsarter, varav 14 är rödlistade, 1 är fridlyst, 9 är typiska (T) och 12 är signalarter (S): gyllenfingersvamp (EN), violgubbe (EN), grangråticka (VU, T), läderdoftande fingersvamp (VU), blå slemspindling (NT, T), fjällig taggsvamp s.str. (NT), flattoppad klubbsvamp (NT), gultoppig fingersvamp (NT), kryddspindling (NT, T), persiljespindling (NT), skarp dropptaggsvamp (NT), sårläka (NT, T), vårärt (NT, T), fruktkremla (DD), anisspindling (S), bolmörtsskivling (S), dofttråding (S), guckusko (S, T, §7), guldkremla (S), mörk husmossa (S, T), olivspindling (S), strimspindling (S), svavelriska (S), trådticka (S, T), underviol (S,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Fruktkremla (DD)</w:t>
      </w:r>
      <w:r>
        <w:t xml:space="preserve"> är en värmekrävande art som bildar mykorrhiza med ek på kalkrik mark i ädellövskog, löväng, ekrik hagmark och gammal parkmiljö. Arten förefaller trivas i ljusa, halvöppna trädbestånd och har sannolikt gynnats av äldre tiders markanvändning. Total population i landet bedöms ha minskat p.g.a. igenväxning och omvandling av halvöppna skogar till sluten skogsmark. Faktaunderlaget bedöms vara otillräckligt för att avgöra vilken av de olika rödlistningskategorierna som är mest trolig (SLU Artdatabanken, 2026).</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blå slemspindling (NT, T), kryddspindling (NT, T), sårläka (NT, T), vårärt (NT, T), guckusko (S, T, §7), mörk husmossa (S, T), trådticka (S, T) och underviol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