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639-2026 i Norrtälje kommun</w:t>
      </w:r>
    </w:p>
    <w:p>
      <w:r>
        <w:t>Denna tillsynsbegäran behandlar höga naturvärden i avverkningsanmälan A 639-2026 i Norrtälje kommun som inkom 2026-01-07 och omfattar 24,7 ha.</w:t>
      </w:r>
    </w:p>
    <w:p>
      <w:pPr>
        <w:pStyle w:val="Caption"/>
      </w:pPr>
      <w:r>
        <w:drawing>
          <wp:inline xmlns:a="http://schemas.openxmlformats.org/drawingml/2006/main" xmlns:pic="http://schemas.openxmlformats.org/drawingml/2006/picture">
            <wp:extent cx="5486400" cy="4110087"/>
            <wp:docPr id="1" name="Picture 1"/>
            <wp:cNvGraphicFramePr>
              <a:graphicFrameLocks noChangeAspect="1"/>
            </wp:cNvGraphicFramePr>
            <a:graphic>
              <a:graphicData uri="http://schemas.openxmlformats.org/drawingml/2006/picture">
                <pic:pic>
                  <pic:nvPicPr>
                    <pic:cNvPr id="0" name="A 639-2026 karta.png"/>
                    <pic:cNvPicPr/>
                  </pic:nvPicPr>
                  <pic:blipFill>
                    <a:blip r:embed="rId16"/>
                    <a:stretch>
                      <a:fillRect/>
                    </a:stretch>
                  </pic:blipFill>
                  <pic:spPr>
                    <a:xfrm>
                      <a:off x="0" y="0"/>
                      <a:ext cx="5486400" cy="4110087"/>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6628991, E 693816 i SWEREF 99 TM.</w:t>
      </w:r>
    </w:p>
    <w:p>
      <w:r>
        <w:t>I och inom 25 meter från avverkningsanmälan finns fynd av 14 naturvårdsarter, varav 8 är rödlistade, 14 är fridlysta och 2 är typiska (T): stare (VU, §4), enkelbeckasin (NT, §4), entita (NT, T, §4), gulsparv (NT, §4), järnsparv (NT, §4), nordfladdermus (NT, §4a), rödvingetrast (NT, §4), talltita (NT, §4), blåsippa (T, §9), grönsiska (§4), kråka (§4), kungsfågel (§4), större brunfladdermus (§4a) och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Större brunfladdermus (§4a)</w:t>
      </w:r>
      <w:r>
        <w:t xml:space="preserve"> omfattas av bilaga 4 EU:s art- och habitatdirektiv vilket innebär ett strikt skydd där arten och dess livsmiljöer ska bevaras. Den lever huvudsakligen i större skogsområden med gamla lövträdsbestånd, där den jagar i alla typer av öppna och halvöppna miljöer, ofta över stora sjöar och vattendrag, strandängar, betes- och slåttermarker. Under året utnyttjar fladdermössen många olika miljöer och ett effektivt bevarandearbete måste därför utgå från ett landskapsekologiskt perspektiv. Den viktigaste faktorn för om fladdermössen ska kunna leva i ett område är tillgången på föda i form av nattaktiva insekter. Ett bra hemområde måste erbjuda god födotillgång under hela aktivitetsperioden. Åtgärder som bevarar och gynnar en hög insektsproduktion är därför centrala. I ett varierat landskap med hög andel äldre lövträd, småvatten, sumpskogar, öppna våtmarker, ängar och betesmarker avlöser olika insektsgrupper varandra vilket gör att det hela tiden finns tillräckligt med föda. Gamla träd med grov bark, skador, håligheter eller döda delar bör lämnas och yngre träd (efterträdare) tillåtas finnas kvar och åldras för att säkra framtida förekomst av lämpliga yngelmiljöer. Övervintringsplatser måste skyddas effektivt från störningar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