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43 naturvårdsarter, varav 17 är rödlistade, 18 är fridlysta, 21 är typiska (T) och 14 är signalarter (S): ask (EN), skogsalm (EN), grönfink (VU, §4), gulvit blekspik (VU, T), stare (VU, §4), adam och eva (NT, §8), blåhake (NT, §4), ekticka (NT, T), entita (NT, T, §4), järnsparv (NT, §4), ladusvala (NT, §4), lunglav (NT, T), mindre hackspett (NT, T, §4), oxtungssvamp (NT), tallticka (NT, T), vårärt (NT, T), älg (NT), barkticka (S, T), brandticka (S), fällmossa (S, T), guldlockmossa (S, T), hasselticka (S, T), igelkottsröksvamp (S), liten baronmossa (S, T), lönnlav (S), mörk husmossa (S, T), platt fjädermossa (S, T), stubbspretmossa (S, T), svart trolldruva (S, T), traslav (S), vätteros (S, T), blåsippa (T, §9), krushättemossa (T), skriftlav (T),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barkticka (S, T), fällmossa (S, T), guldlockmossa (S, T), hasselticka (S, T), liten baronmossa (S, T), mörk husmossa (S, T), platt fjädermossa (S, T), stubbspretmossa (S, T), svart trolldruva (S, T), vätteros (S, T), blåsippa (T, §9), krushättemossa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