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17406-2025 i Norrtälje kommun</w:t>
      </w:r>
    </w:p>
    <w:p>
      <w:r>
        <w:t>Detta klagomål behandlar höga naturvärden i avverkningsanmälan A 17406-2025 i Norrtälje kommun som inkom 2025-04-10 och omfattar 10,8 ha.</w:t>
      </w:r>
    </w:p>
    <w:p>
      <w:pPr>
        <w:pStyle w:val="Caption"/>
      </w:pPr>
      <w:r>
        <w:drawing>
          <wp:inline xmlns:a="http://schemas.openxmlformats.org/drawingml/2006/main" xmlns:pic="http://schemas.openxmlformats.org/drawingml/2006/picture">
            <wp:extent cx="5486400" cy="4873451"/>
            <wp:docPr id="1" name="Picture 1"/>
            <wp:cNvGraphicFramePr>
              <a:graphicFrameLocks noChangeAspect="1"/>
            </wp:cNvGraphicFramePr>
            <a:graphic>
              <a:graphicData uri="http://schemas.openxmlformats.org/drawingml/2006/picture">
                <pic:pic>
                  <pic:nvPicPr>
                    <pic:cNvPr id="0" name="A 17406-2025 karta.png"/>
                    <pic:cNvPicPr/>
                  </pic:nvPicPr>
                  <pic:blipFill>
                    <a:blip r:embed="rId16"/>
                    <a:stretch>
                      <a:fillRect/>
                    </a:stretch>
                  </pic:blipFill>
                  <pic:spPr>
                    <a:xfrm>
                      <a:off x="0" y="0"/>
                      <a:ext cx="5486400" cy="487345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6660272, E 699772 i SWEREF 99 TM.</w:t>
      </w:r>
    </w:p>
    <w:p>
      <w:r>
        <w:t>I och inom 25 meter från avverkningsanmälan finns fynd av 43 naturvårdsarter, varav 23 är rödlistade, 8 är fridlysta, 14 är typiska (T) och 16 är signalarter (S): gyllenfingersvamp (EN), koppartaggsvamp (EN), raggtaggsvamp (EN), skogsalm (EN), duvspindling (VU), grangråticka (VU, T), granrotspindling (VU), gul lammticka (VU), gul taggsvamp (VU, T), knärot (VU, T, §8), läderdoftande fingersvamp (VU), fjällig taggsvamp s.str. (NT), flattoppad klubbsvamp (NT), fyrflikig jordstjärna (NT, T), grantaggsvamp (NT), jättespindling (NT), odörspindling (NT), orange taggsvamp (NT, T), persiljespindling (NT), skarp dropptaggsvamp (NT), såpfingersvamp (NT), talltita (NT, §4), ullticka (NT, T), anisspindling (S), bronshjon (S, T), diskvaxskivling (S), granbarkgnagare (S, T), grön sköldmossa (S, T, §8), guldkremla (S), kamjordstjärna (S), nästrot (S, §8), olivspindling (S), rödgul trumpetsvamp (S), skogsknipprot (S, T, §8), strimspindling (S), stubbspretmossa (S, T), svavelriska (S), vågbandad barkbock (S), zontaggsvamp (S), blåsippa (T, §9), kransmossa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Gyllenfingersvamp (EN) </w:t>
      </w:r>
      <w:r>
        <w:t>är en sällsynt och starkt hotad svamp som</w:t>
      </w:r>
      <w:r>
        <w:rPr>
          <w:b/>
        </w:rPr>
        <w:t xml:space="preserve"> </w:t>
      </w:r>
      <w:r>
        <w:t>bildar mykorrhiza med gran, i granskog på rikare mark, framförallt i kalkbarrskogar, ofta i samma växtmiljö som violgubbe.</w:t>
      </w:r>
      <w:r>
        <w:rPr>
          <w:b/>
        </w:rPr>
        <w:t xml:space="preserve"> </w:t>
      </w:r>
      <w:r>
        <w:t>Som naturvårdsindikator är gyllenfingersvamp en ”toppart”. Den är mycket känslig för skogsbruksåtgärder och är aldrig påträffad i sekundärskog. Artens koppling till produktiva äldre granskogar med hög bonitet gör den särskilt utsatt för slutavverkning. Total population i landet bedöms ha minskat kraftigt och fortsatt minska, huvudsakligen p.g.a. slutavverkningar av äldre kontinuitetsskog. Samtliga lokaler bör undantas från rationellt skogsbruk och kalkbarrskogar med gyllenfingersvamp bör få områdesskydd. Arten är placerad högst upp i Skogsstyrelsens värdepyramid för bedömning av skog med höga naturvärden (SLU Artdatabanken, 2026; Nitare &amp; Skogsstyrelsen, 2019).</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589114"/>
            <wp:docPr id="2" name="Picture 2"/>
            <wp:cNvGraphicFramePr>
              <a:graphicFrameLocks noChangeAspect="1"/>
            </wp:cNvGraphicFramePr>
            <a:graphic>
              <a:graphicData uri="http://schemas.openxmlformats.org/drawingml/2006/picture">
                <pic:pic>
                  <pic:nvPicPr>
                    <pic:cNvPr id="0" name="A 17406-2025 karta knärot.png"/>
                    <pic:cNvPicPr/>
                  </pic:nvPicPr>
                  <pic:blipFill>
                    <a:blip r:embed="rId17"/>
                    <a:stretch>
                      <a:fillRect/>
                    </a:stretch>
                  </pic:blipFill>
                  <pic:spPr>
                    <a:xfrm>
                      <a:off x="0" y="0"/>
                      <a:ext cx="5486400" cy="65891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6660272, E 699772 i SWEREF 99 TM.</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Jättespindling (NT)</w:t>
      </w:r>
      <w:r>
        <w:t xml:space="preserve"> bildar mykorrhiza med ek, lind, avenbok, bok och hassel. Växer i ädellövskog, ädellövbryn, löväng och hagmark, bäckraviner på kalkrik och ofta betad mark. Minskningstakten har uppgått till 15 % under de senaste 50 åren och bedöms vara nära gränsvärdet för Sårbar (VU)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43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