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34 naturvårdsarter, varav 18 är rödlistade, 9 är fridlysta, 20 är typiska (T) och 8 är signalarter (S): koboltspindling (EN), skogsalm (EN), aspgelélav (VU, T), grangråticka (VU, T), knärot (VU, T, §8), kopparspindling (VU), läderdoftande fingersvamp (VU), barrfagerspindling (NT), fjällig taggsvamp s.str. (NT), järnsparv (NT, §4), motaggsvamp (NT, T), persiljespindling (NT), skarp dropptaggsvamp (NT), sårläka (NT, T), tallticka (NT, T), ullticka (NT, T), vit vedfingersvamp (NT), vårärt (NT, T), barkticka (S, T), grönpyrola (S, T), guldlockmossa (S, T), mörk husmossa (S, T), platt fjädermossa (S, T), skogsknipprot (S, T, §8), stor aspticka (S, T), svavelriska (S),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