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55023-2025 i Norrtälje kommun</w:t>
      </w:r>
    </w:p>
    <w:p>
      <w:r>
        <w:t>Detta dokument behandlar höga naturvärden i avverkningsanmälan A 55023-2025 i Norrtälje kommun. Denna avverkningsanmälan inkom 2025-11-06 15:09:04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68 naturvårdsarter hittats: skogsalm (CR), ask (EN), apelticka (VU), davidmusseron (VU), duvspindling (VU), granrotsspindling (VU), gul lammticka (VU), knärot (VU, §8), kopparspindling (VU), läderdoftande fingersvamp (VU), rosetticka (VU), rostorangelav (VU), vedlavklubba (VU), vågticka (VU), barrviolspindling (NT), flattoppad klubbsvamp (NT), jättespindling (NT), koralltaggsvamp (NT), kärrvaxskinn (NT), leopardsköldbagge (NT), lunglav (NT), motaggsvamp (NT), odörspindling (NT), puderspindling (NT), reliktbock (NT), scharlakansvaxing (NT), slåtterfibbla (NT), småflikig brosklav (NT), ullticka (NT), vedskivlav (NT), vit vedfingersvamp (NT), äggspindling (NT), anisspindling (S), barkticka (S), björksplintborre (S), blodvaxing (S), brandmusseron (S), brun klibbskivling (S), diskvaxskivling (S), fjällig taggsvamp s.str. (S), guckusko (S, §7), gulfotsskölding (S), honungsvaxing (S), jättesvampmal (S), nästrot (S, §8), olivspindling (S), rävticka (S), rödfläckig zontaggsvamp (S), rödgul trumpetsvamp (S), skarp dropptaggsvamp (S), skogsknipprot (S, §8), stor aspticka (S), strimspindling (S), strävlosta (S), stubbspretmossa (S), svart trolldruva (S), svavelriska (S), sårläka (S), tibast (S), tjockfotad fingersvamp (S), toppvaxing (S), trådticka (S), underviol (S), vit vaxskivling (S), vårärt (S), zontaggsvamp (S), åderskölding (S) och åttafläckig praktbagge (S).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5023-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6670579, E 707071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Davidmusseron (VU)</w:t>
      </w:r>
      <w:r>
        <w:t xml:space="preserve"> är en ytterst sällsynt art knuten till tall på starkt kalkrik mark. Den har mycket få kända förekomster i världen och är placerad högst upp i Skogsstyrelsens värdepyramid för bedömning av skog med höga naturvärden. Arten hotas av alla former av skogsbruksåtgärder och samtliga förekomster kan tolkas som relikter där varje lokal har mycket högt skyddsvärde. Samtliga växtplatser bör få ett långsiktigt skydd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 xml:space="preserve">Åderskölding </w:t>
      </w:r>
      <w:r>
        <w:t>växer i blandad ädellövskog på murkna stammar och grenar av lövträd, helst bok och ask. Ibland även på starkt murkna vedrester och förna intill grova träd. Arten är placerad högst upp i Skogsstyrelsens värdepyramid för bedömning av skog med höga naturvärden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knärot (VU, §8), guckusko (S, §7), nästrot (S, §8) och skogsknipprot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428920"/>
            <wp:docPr id="2" name="Picture 2"/>
            <wp:cNvGraphicFramePr>
              <a:graphicFrameLocks noChangeAspect="1"/>
            </wp:cNvGraphicFramePr>
            <a:graphic>
              <a:graphicData uri="http://schemas.openxmlformats.org/drawingml/2006/picture">
                <pic:pic>
                  <pic:nvPicPr>
                    <pic:cNvPr id="0" name="A 55023-2025 karta knärot.png"/>
                    <pic:cNvPicPr/>
                  </pic:nvPicPr>
                  <pic:blipFill>
                    <a:blip r:embed="rId17"/>
                    <a:stretch>
                      <a:fillRect/>
                    </a:stretch>
                  </pic:blipFill>
                  <pic:spPr>
                    <a:xfrm>
                      <a:off x="0" y="0"/>
                      <a:ext cx="5486400" cy="7428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6670579, E 707071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