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34045-2023 i Norrtälje kommun</w:t>
      </w:r>
    </w:p>
    <w:p>
      <w:r>
        <w:t>Detta dokument behandlar höga naturvärden i avverkningsanmälan A 34045-2023 i Norrtälje kommun. Denna avverkningsanmälan inkom 2023-07-28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56 naturvårdsarter hittats: ask (EN), duvspindling (VU), dysterspindling (VU), fjällfotad fingersvamp (VU), fläckfingersvamp (VU), grangråticka (VU), granrotspindling (VU), gul lammticka (VU), gyllenfingersvamp (VU), koppartaggsvamp (VU), lakritsmusseron (VU), läderdoftande fingersvamp (VU), roslagsfingersvamp (VU), violettfläckig spindling (VU), violgubbe (VU), apelsinticka (NT), bittermusseron (NT), blek fingersvamp (NT), dofttaggsvamp (NT), flattoppad klubbsvamp (NT), grantaggsvamp (NT), granticka (NT), gul taggsvamp (NT), gultoppig fingersvamp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spetsvaxing (S), svavelriska (S), tjockfotad fingersvamp (S), trådticka (S), vedticka (S), vågbandad barkbock (S), zontaggsvamp (S) och blåsippa (§9).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Dysterspindling (VU)</w:t>
      </w:r>
      <w:r>
        <w:t xml:space="preserve"> bildar mykorrhiza med gran, i äldre granskog på näringsrik mark. Den totala populationen i landet bedöms ha minskat och förväntas fortsätta minska på grund av slutavverkning av äldre barrskog och kontinuitetsskog. Generellt är det största hotet för sällsynta mykorrhizasvampar att värdträden på växtplatserna avverkas. Kalavverkning och efterföljande markbearbetning innebär att arten försvinner (SLU Artdatabanken, 2026).</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Roslagsfingersvamp (EN) </w:t>
      </w:r>
      <w:r>
        <w:t>är en mycket sällsynt och starkt hotad ”toppart” som bildar mykorrhiza med gran i kalkrik barrskog. All form av skogsavverkning i eller i närheten av växtplatsen missgynnar arten. Dess koppling till produktiva äldre granskogar med hög bonitet gör den särskilt utsatt för slutavverkning. Samtliga lokaler bör undantas från rationellt skogsbruk och få ett områdesskydd. Arten är placerad högst upp i Skogsstyrelsens värdepyramid för bedömning av skog med höga naturvärden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56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