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30687-2025 i Norrtälje kommun</w:t>
      </w:r>
    </w:p>
    <w:p>
      <w:r>
        <w:t>Detta klagomål behandlar höga naturvärden i avverkningsanmälan A 30687-2025 i Norrtälje kommun som inkom 2025-06-23 och omfattar 6,7 ha.</w:t>
      </w:r>
    </w:p>
    <w:p>
      <w:pPr>
        <w:pStyle w:val="Caption"/>
      </w:pPr>
      <w:r>
        <w:drawing>
          <wp:inline xmlns:a="http://schemas.openxmlformats.org/drawingml/2006/main" xmlns:pic="http://schemas.openxmlformats.org/drawingml/2006/picture">
            <wp:extent cx="5486400" cy="5145158"/>
            <wp:docPr id="1" name="Picture 1"/>
            <wp:cNvGraphicFramePr>
              <a:graphicFrameLocks noChangeAspect="1"/>
            </wp:cNvGraphicFramePr>
            <a:graphic>
              <a:graphicData uri="http://schemas.openxmlformats.org/drawingml/2006/picture">
                <pic:pic>
                  <pic:nvPicPr>
                    <pic:cNvPr id="0" name="A 30687-2025 karta.png"/>
                    <pic:cNvPicPr/>
                  </pic:nvPicPr>
                  <pic:blipFill>
                    <a:blip r:embed="rId16"/>
                    <a:stretch>
                      <a:fillRect/>
                    </a:stretch>
                  </pic:blipFill>
                  <pic:spPr>
                    <a:xfrm>
                      <a:off x="0" y="0"/>
                      <a:ext cx="5486400" cy="514515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6643576, E 707329 i SWEREF 99 TM.</w:t>
      </w:r>
    </w:p>
    <w:p>
      <w:r>
        <w:t>I avverkningsanmälan finns fynd av 4 naturvårdsarter, varav 1 är rödlistad, 1 är fridlyst, 4 är typiska (T) och 2 är signalarter (S): kandelabersvamp (NT, T), stinkbrosking (S, T), svart trolldruva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Stinkbrosking</w:t>
      </w:r>
      <w:r>
        <w:t xml:space="preserve"> är en mycket bra signalart knuten till gamla lövskogar och hassellundar, i varma men ändå fuktiga lägen på kalkhaltiga mulljordar, där det finns rikligt med död ved och ett successivt årligt nedfall av grenar och pinnar. På lokalerna finns oftast en rik lundflora med många andra ovanliga och rödlistade arter. Stinkbrosking är typisk art för </w:t>
      </w:r>
      <w:r>
        <w:rPr>
          <w:i/>
        </w:rPr>
        <w:t xml:space="preserve">9020 Nordlig ädellövskog </w:t>
      </w:r>
      <w:r>
        <w:t>(Nitare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