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som inkom 2026-01-07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stare (VU, §4), enkelbeckasin (NT, §4), entita (NT, T, §4), gulsparv (NT, §4), järnsparv (NT, §4), nordfladdermus (NT, §4a), rödvingetrast (NT, §4), talltita (NT, §4), blåsippa (T, §9), grönsiska (§4), kråka (§4), kungsfågel (§4), större brunfladdermus (§4a)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2"/>
      </w:pPr>
      <w:r>
        <w:t>Fridlysta arter</w:t>
      </w:r>
    </w:p>
    <w:p>
      <w:r>
        <w:t>Följande fridlysta arter har sina livsmiljöer och växtplatser i den avverkningsanmälda skogen: stare (VU, §4), enkelbeckasin (NT, §4), entita (NT, T, §4), gulsparv (NT, §4), järnsparv (NT, §4), nordfladdermus (NT, §4a), rödvingetrast (NT, §4), talltita (NT, §4), blåsippa (T, §9), grönsiska (§4), kråka (§4), kungsfågel (§4), större brunfladdermus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