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43 naturvårdsarter, varav 23 är rödlistade, 8 är fridlysta, 14 är typiska (T) och 16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odörspindling (NT), orange taggsvamp (NT, T), persiljespindling (NT), skarp dropptaggsvamp (NT), såpfingersvamp (NT), talltita (NT, §4), ullticka (NT, T), anisspindling (S), bronshjon (S, T), diskvaxskivling (S), granbarkgnagare (S, T), grön sköldmossa (S, T, §8), guldkremla (S), kamjordstjärna (S), nästrot (S, §8), olivspindling (S), rödgul trumpetsvamp (S), skogsknipprot (S, T, §8), strimspindling (S), stubbspretmossa (S, T), svavelriska (S),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