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62030-2021 i Norrtälje kommun</w:t>
      </w:r>
    </w:p>
    <w:p>
      <w:r>
        <w:t>Denna tillsynsbegäran behandlar höga naturvärden i avverkningsanmälan A 62030-2021 i Norrtälje kommun som inkom 2021-11-02 och omfattar 4,7 ha.</w:t>
      </w:r>
    </w:p>
    <w:p>
      <w:pPr>
        <w:pStyle w:val="Caption"/>
      </w:pPr>
      <w:r>
        <w:drawing>
          <wp:inline xmlns:a="http://schemas.openxmlformats.org/drawingml/2006/main" xmlns:pic="http://schemas.openxmlformats.org/drawingml/2006/picture">
            <wp:extent cx="5486400" cy="3697193"/>
            <wp:docPr id="1" name="Picture 1"/>
            <wp:cNvGraphicFramePr>
              <a:graphicFrameLocks noChangeAspect="1"/>
            </wp:cNvGraphicFramePr>
            <a:graphic>
              <a:graphicData uri="http://schemas.openxmlformats.org/drawingml/2006/picture">
                <pic:pic>
                  <pic:nvPicPr>
                    <pic:cNvPr id="0" name="A 62030-2021 karta.png"/>
                    <pic:cNvPicPr/>
                  </pic:nvPicPr>
                  <pic:blipFill>
                    <a:blip r:embed="rId16"/>
                    <a:stretch>
                      <a:fillRect/>
                    </a:stretch>
                  </pic:blipFill>
                  <pic:spPr>
                    <a:xfrm>
                      <a:off x="0" y="0"/>
                      <a:ext cx="5486400" cy="3697193"/>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6632659, E 680522 i SWEREF 99 TM.</w:t>
      </w:r>
    </w:p>
    <w:p>
      <w:r>
        <w:t>Inom 7 meter från avverkningsanmälan finns fynd av 2 naturvårdsarter, varav 2 är fridlysta och 1 är signalart (S): tvåblad (S, §8) och slaguggla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Slaguggla (§4)</w:t>
      </w:r>
      <w:r>
        <w:t xml:space="preserve"> är fridlyst enligt 4 § artskyddsförordningen och ingår i bilaga 1 EU:s fågeldirektiv. Tillgången på naturliga boplatser för slaguggla har minskat drastiskt och kommer även att minska i framtiden. Industriskogsbrukets korta omloppstider förhindrar nybildning av grova torrträd och utgör det största hotet mot arten. Skogsbrukets hänsyn måste tillåta att vissa skogsarealer, inte bara av låg bonitet, når mycket hög ålder.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Slaguggla – ekologi samt krav på livsmiljön</w:t>
      </w:r>
    </w:p>
    <w:p>
      <w:r>
        <w:t>Slaguggla (§4) är fridlyst enligt 4§ artskyddsförordningen, upptagen i bilaga 1 EU:s fågeldirektiv och bilaga 2 Bernkonventionen samt finns med som prioriterad art i Skogsstyrelsens vägledning för skogsbruket (SKSFS 2011:7). Den häckar i skogsmark, oftast i anslutning till myrar, hyggen och inägor. Arten förekommer från mellersta Sverige norrut till Lule Lappmark och norra Norrbotten. Häckningsrevirets storlek varierar betydligt, från cirka 300 hektar till uppemot 600–700 hektar. De gamla fåglarna är mycket stationära och revirets storlek beror bland annat på närheten till grannrevir och kvaliteten på jaktmarkerna. Spridning av ungfåglar sker 5–70 km från boplatsen, i sällsynta fall kan ungfåglar vandra betydligt längre.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r>
        <w:t>Industriskogsbrukets korta omloppstider (100–120 år) förhindrar nybildning av grova torrträd och utgör det största hotet mot arten. Skogsbrukets hänsyn måste tillåta att vissa skogsarealer, inte bara av låg bonitet, når mycket hög ålder. Tillgången på naturliga boplatser för slaguggla har minskat drastiskt och kommer även att minska i framtiden. Detta beror på det moderna skogsbrukets inriktning och metoder som inte längre tillåter utbildandet av träd av de dimensioner som säkerställer nybildning av lämpliga boplatser i form av rötade stammar som kan bilda ”skorstenar” eller större hål i samband med kvistbrott. Som exempel på vad som krävs kan nämnas att tolv, genom dendrokronologisk analys, daterade bebodda torrakstubbar i Hälsingland hade varit döda i 255 år (129–360 år) och var 200–400 år gamla innan de dog. De äldsta tallarna hade alltså börjat växa från begynnelsen av 1300-talet och de yngsta från mitten av 1600-talet (SLU Artdatabanken, 2026).</w:t>
      </w:r>
    </w:p>
    <w:p>
      <w:pPr>
        <w:pStyle w:val="Heading2"/>
      </w:pPr>
      <w:r>
        <w:t>Referenser – slaguggla</w:t>
      </w:r>
    </w:p>
    <w:p>
      <w:r>
        <w:t xml:space="preserve">Skogsstyrelsen, 2016. </w:t>
      </w:r>
      <w:r>
        <w:rPr>
          <w:i/>
        </w:rPr>
        <w:t xml:space="preserve">Vägledning för hänsyn till fåglar – Slaguggla. </w:t>
      </w:r>
      <w:r>
        <w:t>www.skogsstyrelsen.se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