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6467-2022 i Norrtälje kommun</w:t>
      </w:r>
    </w:p>
    <w:p>
      <w:r>
        <w:t>Detta klagomål behandlar höga naturvärden i samrådsanmälan S 6467-2022 i Norrtälje kommun som inkom 2022-11-15 och omfattar 3,9 ha.</w:t>
      </w:r>
    </w:p>
    <w:p>
      <w:pPr>
        <w:pStyle w:val="Caption"/>
      </w:pPr>
      <w:r>
        <w:drawing>
          <wp:inline xmlns:a="http://schemas.openxmlformats.org/drawingml/2006/main" xmlns:pic="http://schemas.openxmlformats.org/drawingml/2006/picture">
            <wp:extent cx="5486400" cy="5074833"/>
            <wp:docPr id="1" name="Picture 1"/>
            <wp:cNvGraphicFramePr>
              <a:graphicFrameLocks noChangeAspect="1"/>
            </wp:cNvGraphicFramePr>
            <a:graphic>
              <a:graphicData uri="http://schemas.openxmlformats.org/drawingml/2006/picture">
                <pic:pic>
                  <pic:nvPicPr>
                    <pic:cNvPr id="0" name="S 6467-2022 karta.png"/>
                    <pic:cNvPicPr/>
                  </pic:nvPicPr>
                  <pic:blipFill>
                    <a:blip r:embed="rId16"/>
                    <a:stretch>
                      <a:fillRect/>
                    </a:stretch>
                  </pic:blipFill>
                  <pic:spPr>
                    <a:xfrm>
                      <a:off x="0" y="0"/>
                      <a:ext cx="5486400" cy="5074833"/>
                    </a:xfrm>
                    <a:prstGeom prst="rect"/>
                  </pic:spPr>
                </pic:pic>
              </a:graphicData>
            </a:graphic>
          </wp:inline>
        </w:drawing>
      </w:r>
    </w:p>
    <w:p>
      <w:pPr>
        <w:pStyle w:val="Caption"/>
        <w:spacing w:after="240"/>
      </w:pPr>
      <w:r>
        <w:t>Figur 1. Fyndplatser för naturvårdsarter i och inom 20 meter från samrådsanmälan. Markörer utan svart kant är placerade på fyndplatsen. Markörer med svart kant är placerade vid sidan av fyndplatsen och har ett svart streck som visar fyndplatsens exakta position. Kartans mittpunktskoordinat är N 6631327, E 710539 i SWEREF 99 TM.</w:t>
      </w:r>
    </w:p>
    <w:p>
      <w:r>
        <w:t>I och inom 20 meter från samrådsanmälan finns fynd av 27 naturvårdsarter, varav 14 är rödlistade, 18 är fridlysta, 10 är typiska (T) och 3 är signalarter (S): ask (EN), grönfink (VU, §4), gulvit blekspik (VU, T), stare (VU, §4), adam och eva (NT, §8), blåhake (NT, §4), entita (NT, T, §4), järnsparv (NT, §4), ladusvala (NT, §4), lunglav (NT, T), mindre hackspett (NT, T, §4), oxtungssvamp (NT), vårärt (NT, T), älg (NT), hasselticka (S, T), mörk husmossa (S, T), vätteros (S, T), blåsippa (T, §9), spillkråka (T, §4), gröngöling (§4), kråka (§4), kungsfågel (§4), svartvit flugsnappare (§4), sävsparv (§4), sångsvan (§4), trana (§4) och vanlig snok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Gulvit blekspik (VU)</w:t>
      </w:r>
      <w:r>
        <w:t xml:space="preserve"> växer främst på öppet stående, grova ädellövträd av framförallt ask och alm samt ibland även på lönn. Arten förekommer ofta i hagmarker, lövängar, parker och i alléer. Aktuella förekomster bör skyddas, speciellt förekomster som inte växer på alm och ask. Eftersom alm- och askskottsjukan är det allvarligaste hotet är åtgärder för att motverka dessa sjukdomar mycket viktigt. Alla blekspikar av släktet </w:t>
      </w:r>
      <w:r>
        <w:rPr>
          <w:i/>
        </w:rPr>
        <w:t>Sclerophora</w:t>
      </w:r>
      <w:r>
        <w:t xml:space="preserve"> ​​​​är utmärkta signalarter för gamla träd och skogsområden med höga naturvärden. Gulvit blekspik är typisk art för </w:t>
      </w:r>
      <w:r>
        <w:rPr>
          <w:i/>
        </w:rPr>
        <w:t>9020 Nordlig ädellövskog, 9070 Trädklädd betesmark, 9180 Ädellövskog i branter</w:t>
      </w:r>
      <w:r>
        <w:t xml:space="preserve"> och </w:t>
      </w:r>
      <w:r>
        <w:rPr>
          <w:i/>
        </w:rPr>
        <w:t>6530 Lövängar</w:t>
      </w:r>
      <w:r>
        <w:t xml:space="preserve"> (SLU Artdatabanken, 2024; Nitare &amp; Skogsstyrelsen, 2019).</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Oxtungssvamp (NT)</w:t>
      </w:r>
      <w:r>
        <w:t xml:space="preserve"> växer nästan uteslutande på flerhundraåriga jätteekar i kulturlandskapet, till exempel i ekhagar och vid vägkanter, men kan även leva kvar på dess träd i mer slutna bestånd. Arten hotas av avverkning av värdträd och passande värdträd runt fyndplatserna samt av att olikåldriga bestånd med grov ek i hagmarks- och skogsmiljö avverkas (SLU Artdatabanken, 2024; Nitare &amp; Skogsstyrelsen, 2019).</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Hasselticka är typisk art för </w:t>
      </w:r>
      <w:r>
        <w:rPr>
          <w:i/>
        </w:rPr>
        <w:t xml:space="preserve">9020 Nordlig ädellövskog </w:t>
      </w:r>
      <w:r>
        <w:t xml:space="preserve">och </w:t>
      </w:r>
      <w:r>
        <w:rPr>
          <w:i/>
        </w:rPr>
        <w:t xml:space="preserve">9160 Näringsrik ekskog </w:t>
      </w:r>
      <w:r>
        <w:t>(Nitare &amp; Skogsstyrelsen, 2019; SLU Artdatabanken, 2025).</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 xml:space="preserve">Vätteros </w:t>
      </w:r>
      <w:r>
        <w:t xml:space="preserve">är typisk art för </w:t>
      </w:r>
      <w:r>
        <w:rPr>
          <w:i/>
        </w:rPr>
        <w:t xml:space="preserve">9020 Nordlig ädellövskog </w:t>
      </w:r>
      <w:r>
        <w:t>och</w:t>
      </w:r>
      <w:r>
        <w:rPr>
          <w:i/>
        </w:rPr>
        <w:t xml:space="preserve"> 9160 Näringsrik ekskog </w:t>
      </w:r>
      <w:r>
        <w:t>(SLU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27 naturvårdsarter varav 14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