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dokument behandlar höga naturvärden i avverkningsanmälan A 16696-2026 i Norrtälje kommun. Denna avverkningsanmälan inkom 2026-03-31 20:52:26 och omfattar 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ryl (EN), ädellav (EN), Blastenia relicta (VU), koppartaggsvamp (VU), läderdoftande fingersvamp (VU), apelsinticka (NT), gammelekslav (NT), granticka (NT), motaggsvamp (NT), orange taggsvamp (NT), spillkråka (NT, §4), tallticka (NT), talltita (NT, §4), ullticka (NT), vedskivlav (NT), vedtrappmossa (NT), vit vedfingersvamp (NT), aspvedgnagare (S), barkticka (S), blodticka (S), blåmossa (S), brandticka (S), bronshjon (S), diskvaxskivling (S), dropptaggsvamp (S), fjällig taggsvamp s.str. (S), fällmossa (S), granbarkgnagare (S), grönpyrola (S), gulnål (S), hasselticka (S), korallblylav (S), kornig nållav (S), kryddspindling (S), nästrot (S, §8), platt fjädermossa (S), rödgul trumpetsvamp (S), scharlakansvårskål agg. (S), skarp dropptaggsvamp (S), stekelbock (S), stor aspticka (S), svavelriska (S), vedticka (S), vätteros (S), vågbandad barkbock (S), järnsparv (§4), kungsfågel (§4), blåsippa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6635900, E 707295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nästrot (S, §8), järnsparv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