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38 naturvårdsarter, varav 21 är rödlistade, 6 är fridlysta, 14 är typiska (T) och 13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granbarkgnagare (S, T), grön sköldmossa (S, T, §8), guldkremla (S), kamjordstjärna (S), olivspindling (S), rödgul trumpetsvamp (S), skogsknipprot (S, T, §8), strimspindling (S), stubbspretmossa (S, T), vågbandad barkbock (S), zontaggsvamp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granbarkgnagare (S, T), grön sköldmossa (S, T, §8), skogsknipprot (S, T, §8),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