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26703-2025 i Norrtälje kommun</w:t>
      </w:r>
    </w:p>
    <w:p>
      <w:r>
        <w:t>Detta klagomål behandlar höga naturvärden i avverkningsanmälan A 26703-2025 i Norrtälje kommun som inkom 2025-06-02 och omfattar 1,8 ha.</w:t>
      </w:r>
    </w:p>
    <w:p>
      <w:pPr>
        <w:pStyle w:val="Caption"/>
      </w:pPr>
      <w:r>
        <w:drawing>
          <wp:inline xmlns:a="http://schemas.openxmlformats.org/drawingml/2006/main" xmlns:pic="http://schemas.openxmlformats.org/drawingml/2006/picture">
            <wp:extent cx="5486400" cy="5246959"/>
            <wp:docPr id="1" name="Picture 1"/>
            <wp:cNvGraphicFramePr>
              <a:graphicFrameLocks noChangeAspect="1"/>
            </wp:cNvGraphicFramePr>
            <a:graphic>
              <a:graphicData uri="http://schemas.openxmlformats.org/drawingml/2006/picture">
                <pic:pic>
                  <pic:nvPicPr>
                    <pic:cNvPr id="0" name="A 26703-2025 karta.png"/>
                    <pic:cNvPicPr/>
                  </pic:nvPicPr>
                  <pic:blipFill>
                    <a:blip r:embed="rId16"/>
                    <a:stretch>
                      <a:fillRect/>
                    </a:stretch>
                  </pic:blipFill>
                  <pic:spPr>
                    <a:xfrm>
                      <a:off x="0" y="0"/>
                      <a:ext cx="5486400" cy="5246959"/>
                    </a:xfrm>
                    <a:prstGeom prst="rect"/>
                  </pic:spPr>
                </pic:pic>
              </a:graphicData>
            </a:graphic>
          </wp:inline>
        </w:drawing>
      </w:r>
    </w:p>
    <w:p>
      <w:pPr>
        <w:pStyle w:val="Caption"/>
        <w:spacing w:after="240"/>
      </w:pPr>
      <w:r>
        <w:t>Figur 1. Fyndplatser för naturvårdsarter inom 19 meter från avverkningsanmälan. Markörer utan svart kant är placerade på fyndplatsen. Markörer med svart kant är placerade vid sidan av fyndplatsen och har ett svart streck som visar fyndplatsens exakta position. Kartans mittpunktskoordinat är N 6643522, E 696819 i SWEREF 99 TM.</w:t>
      </w:r>
    </w:p>
    <w:p>
      <w:r>
        <w:t>Inom 19 meter från avverkningsanmälan finns fynd av 5 naturvårdsarter, varav 3 är rödlistade, 1 är fridlyst, 3 är typiska (T) och 1 är signalart (S): aspgelélav (VU, T), grangråticka (VU, T), fjällig taggsvamp s.str. (NT), svavelriska (S) och blåsippa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Aspgelélav (VU)</w:t>
      </w:r>
      <w:r>
        <w:t xml:space="preserve"> växer praktiskt taget enbart på asp i skog med hög luftfuktighet. Aspgelélav missgynnas vid slutavverkning. I norra Sverige hotas arten genom slutavverkning av äldre barrskog med åldriga aspar, ofta på skogsbergens sluttningar. Arten försvinner på aspar som lämnas kvar på hyggen. Aspgelélav (VU) är typisk art för </w:t>
      </w:r>
      <w:r>
        <w:rPr>
          <w:i/>
        </w:rPr>
        <w:t>9010 Taiga</w:t>
      </w:r>
      <w:r>
        <w:t xml:space="preserve"> (SLU Artdatabanken, 2024).</w:t>
      </w:r>
    </w:p>
    <w:p>
      <w:r>
        <w:rPr>
          <w:b/>
        </w:rPr>
        <w:t>Grangråticka (VU)</w:t>
      </w:r>
      <w:r>
        <w:t xml:space="preserve"> bildar mykorrhiza med gran och påträffas på kalkrik mark i örtrika granskogar med t.ex. blåsippa, harsyra och ekorrbär i fältskiktet. Arten är beroende av långvarig kontinuitet av äldre gran och tål ingen slutavverkning (kalhuggning). Lokaler med grangråticka är alltid skyddsvärda och bör skötas med stor varsamhet. Grangråticka är typisk art för </w:t>
      </w:r>
      <w:r>
        <w:rPr>
          <w:i/>
        </w:rPr>
        <w:t>9050 Näringsrik granskog</w:t>
      </w:r>
      <w:r>
        <w:t xml:space="preserve"> (SLU Artdatabanken, 2024; Nitare &amp; Skogsstyrelsen, 2019).</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