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9472-2025 i Norrtälje kommun</w:t>
      </w:r>
    </w:p>
    <w:p>
      <w:r>
        <w:t>Denna tillsynsbegäran behandlar höga naturvärden i avverkningsanmälan A 9472-2025 i Norrtälje kommun som inkom 2025-02-27 och omfattar 11,9 ha.</w:t>
      </w:r>
    </w:p>
    <w:p>
      <w:pPr>
        <w:pStyle w:val="Caption"/>
      </w:pPr>
      <w:r>
        <w:drawing>
          <wp:inline xmlns:a="http://schemas.openxmlformats.org/drawingml/2006/main" xmlns:pic="http://schemas.openxmlformats.org/drawingml/2006/picture">
            <wp:extent cx="5486400" cy="4196813"/>
            <wp:docPr id="1" name="Picture 1"/>
            <wp:cNvGraphicFramePr>
              <a:graphicFrameLocks noChangeAspect="1"/>
            </wp:cNvGraphicFramePr>
            <a:graphic>
              <a:graphicData uri="http://schemas.openxmlformats.org/drawingml/2006/picture">
                <pic:pic>
                  <pic:nvPicPr>
                    <pic:cNvPr id="0" name="A 9472-2025 karta.png"/>
                    <pic:cNvPicPr/>
                  </pic:nvPicPr>
                  <pic:blipFill>
                    <a:blip r:embed="rId16"/>
                    <a:stretch>
                      <a:fillRect/>
                    </a:stretch>
                  </pic:blipFill>
                  <pic:spPr>
                    <a:xfrm>
                      <a:off x="0" y="0"/>
                      <a:ext cx="5486400" cy="4196813"/>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6649858, E 712312 i SWEREF 99 TM.</w:t>
      </w:r>
    </w:p>
    <w:p>
      <w:r>
        <w:t>I och inom 25 meter från avverkningsanmälan finns fynd av 32 naturvårdsarter, varav 18 är rödlistade, 5 är fridlysta, 11 är typiska (T) och 10 är signalarter (S): koppartaggsvamp (EN), violgubbe (EN), fläckfingersvamp (VU), fältgentiana (VU), gul taggsvamp (VU, T), knärot (VU, T, §8), läderdoftande fingersvamp (VU), porslinsblå spindling (VU, T), ringlav (VU), fjällig taggsvamp s.str. (NT), kattfotslav (NT, T), loppstarr (NT), månlåsbräken (NT), persiljespindling (NT), skarp dropptaggsvamp (NT), slåtterfibbla (NT, T), sårläka (NT, T), tjockfotad fingersvamp (NT), anisspindling (S), aprikosfingersvamp (S), blodvaxing (S), bronshjon (S, T), granbarkgnagare (S, T), grönpyrola (S, T), honungsvaxing (S), hårjordtunga (S), olivspindling (S), ängsfingersvamp (S), blåsippa (T, §9), spillkråka (T, §4), kungsfågel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r>
        <w:rPr>
          <w:b/>
        </w:rPr>
        <w:t xml:space="preserve">Fläckfingersvamp (VU) </w:t>
      </w:r>
      <w:r>
        <w:t>är en sällsynt ”toppart” som bildar mykorrhiza med dels bok i äldre bokskog, dels med gran i barrskog på näringsrik-kalkrik mark, sällsynt även med ek i ädellövskog. Svampen har en egenartad, ljust svavelgröngul färg som är svår att återge. På foten och i gamla skador får svampen karaktäristiska vinröda fläckar och är därför lätt att känna igen. All form av skogsavverkning i eller i närheten av växtplatsen missgynnar arten och skogsområden där den förekommer bör skyddas och undantas från rationellt skogsbruk. Fläckfingersvamp är placerad högst upp i Skogsstyrelsens värdepyramid för bedömning av skog med höga naturvärden och dess växtplatser utgör ofta s.k. ”hotspots” för ett stort antal rödlistade svampar (SLU Artdatabanken, 2024; Nitare &amp; Skogsstyrelsen, 2019).</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30 fyndplatser för knärot registrerade på Artportalen. Figur 2 visar gränserna för buffertzoner på 50 m, som behöver lämnas kring fyndplatserna för att knärotslokalerna inte ska försvinna vid en avverkning. Av det avverkningsanmälda området överlappar 3.50 ha med buffertzonerna och får av detta skäl inte avverkas.</w:t>
      </w:r>
    </w:p>
    <w:p>
      <w:pPr>
        <w:pStyle w:val="Caption"/>
      </w:pPr>
      <w:r>
        <w:drawing>
          <wp:inline xmlns:a="http://schemas.openxmlformats.org/drawingml/2006/main" xmlns:pic="http://schemas.openxmlformats.org/drawingml/2006/picture">
            <wp:extent cx="5486400" cy="3201343"/>
            <wp:docPr id="2" name="Picture 2"/>
            <wp:cNvGraphicFramePr>
              <a:graphicFrameLocks noChangeAspect="1"/>
            </wp:cNvGraphicFramePr>
            <a:graphic>
              <a:graphicData uri="http://schemas.openxmlformats.org/drawingml/2006/picture">
                <pic:pic>
                  <pic:nvPicPr>
                    <pic:cNvPr id="0" name="A 9472-2025 karta knärot.png"/>
                    <pic:cNvPicPr/>
                  </pic:nvPicPr>
                  <pic:blipFill>
                    <a:blip r:embed="rId17"/>
                    <a:stretch>
                      <a:fillRect/>
                    </a:stretch>
                  </pic:blipFill>
                  <pic:spPr>
                    <a:xfrm>
                      <a:off x="0" y="0"/>
                      <a:ext cx="5486400" cy="320134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6649858, E 712312 i SWEREF 99 TM.</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Porslinsblå spindling (VU)</w:t>
      </w:r>
      <w:r>
        <w:t xml:space="preserve"> är en mycket bra signalart på skyddsvärda kalkgranskogar där det föreligger långvarig grankontinuitet. Andelen äldre näringsrik granskog minskar i södra Sverige och därför fortsätter arten att minska. Det främsta hotet mot porslinsblå spindling är avverkning av de värdträd som den är helt beroende av. Den är placerad högst upp i Skogsstyrelsens värdepyramid för bedömning av skog med höga naturvärden och äldre granskogar där arten växer bör i möjligaste mån undantas från avverkning. Porslinsblå spindling är typisk art för </w:t>
      </w:r>
      <w:r>
        <w:rPr>
          <w:i/>
        </w:rPr>
        <w:t>9050 Näringsrik granskog</w:t>
      </w:r>
      <w:r>
        <w:t xml:space="preserve"> (SLU Artdatabanken, 2024; Nitare &amp; Skogsstyrelsen, 2019).</w:t>
      </w:r>
    </w:p>
    <w:p>
      <w:r>
        <w:rPr>
          <w:b/>
        </w:rPr>
        <w:t>Ringlav (VU)</w:t>
      </w:r>
      <w:r>
        <w:t>, rödlistad som sårbar, växer oftast på gran och tall i brandrefugiala halvöppna skogar med hög och jämn luftfuktighet. Under de senaste 50 åren har minskningstakten uppgått till 30 (20–40) %. Hur mycket den kommer att minska i framtiden beror på vad som kommer att ske med de stora förekomster som hittats men som ännu saknar skydd. Arten, som är placerad i toppen på Skogsstyrelsen värdepyramid för bedömning av skog med höga naturvärden, är ytterst känslig för förändringar i mikroklimatet och den överlever inte i skogsbestånd som gränsar till kalhyggen. Lavens förekomster tillsammans med väl tilltagna skyddszoner måste skyddas och undantas från produktionsinriktat skogsbruk (SLU Artdatabanken, 2024;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gul taggsvamp (VU, T), knärot (VU, T, §8), porslinsblå spindling (VU, T), kattfotslav (NT, T), slåtterfibbla (NT, T), sårläka (NT, T), bronshjon (S, T), granbarkgnagare (S, T), grönpyrola (S, T), blåsippa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