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8557-2021 i Norrtälje kommun</w:t>
      </w:r>
    </w:p>
    <w:p>
      <w:r>
        <w:t>Denna tillsynsbegäran behandlar höga naturvärden i samrådsanmälan S 8557-2021 i Norrtälje kommun som inkom 2021-10-28 och omfattar 20,7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S 8557-2021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6627478, E 683470 i SWEREF 99 TM.</w:t>
      </w:r>
    </w:p>
    <w:p>
      <w:r>
        <w:t>I och inom 11 meter från samrådsanmälan finns fynd av 25 naturvårdsarter, varav 14 är rödlistade, 4 är fridlysta, 15 är typiska (T) och 9 är signalarter (S): koppartaggsvamp (EN), knärot (VU, T, §8), ulltickeporing (VU), Blastenia relicta (NT), dropptaggsvamp (NT, T), fjällig taggsvamp s.str. (NT), gransotdyna (NT), motaggsvamp (NT, T), orange taggsvamp (NT, T), rynkskinn (NT, T), skarp dropptaggsvamp (NT), tallticka (NT, T), ullticka (NT, T), vedtrappmossa (NT, T), brandticka (S), bronshjon (S, T), grovticka (S, T), grönpyrola (S, T), nästrot (S, §8), rödgul trumpetsvamp (S), svart trolldruva (S, T), trådticka (S, T), vågbandad barkbock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1.59 ha med buffertzonerna och får av detta skäl inte avverkas.</w:t>
      </w:r>
    </w:p>
    <w:p>
      <w:pPr>
        <w:pStyle w:val="Caption"/>
      </w:pPr>
      <w:r>
        <w:drawing>
          <wp:inline xmlns:a="http://schemas.openxmlformats.org/drawingml/2006/main" xmlns:pic="http://schemas.openxmlformats.org/drawingml/2006/picture">
            <wp:extent cx="5486400" cy="6635671"/>
            <wp:docPr id="2" name="Picture 2"/>
            <wp:cNvGraphicFramePr>
              <a:graphicFrameLocks noChangeAspect="1"/>
            </wp:cNvGraphicFramePr>
            <a:graphic>
              <a:graphicData uri="http://schemas.openxmlformats.org/drawingml/2006/picture">
                <pic:pic>
                  <pic:nvPicPr>
                    <pic:cNvPr id="0" name="S 8557-2021 karta knärot.png"/>
                    <pic:cNvPicPr/>
                  </pic:nvPicPr>
                  <pic:blipFill>
                    <a:blip r:embed="rId17"/>
                    <a:stretch>
                      <a:fillRect/>
                    </a:stretch>
                  </pic:blipFill>
                  <pic:spPr>
                    <a:xfrm>
                      <a:off x="0" y="0"/>
                      <a:ext cx="5486400" cy="663567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6627478, E 683470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i/>
        </w:rPr>
        <w:t xml:space="preserve">Blastenia relicta </w:t>
      </w:r>
      <w:r>
        <w:rPr>
          <w:b/>
        </w:rPr>
        <w:t>(NT)</w:t>
      </w:r>
      <w:r>
        <w:t xml:space="preserve"> är en rostorangelav som växer på aspgrenar, men även på stammar på senvuxna, öppet stående träd. I södra Sverige växer den ibland på ädellövträd. Arten har i södra och mellersta Sverige minskat, sannolikt dels p.g.a. att antalet senvuxna aspar i skogsmark blivit färre. Kända lokaler bör skyddas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dropptaggsvamp (NT, T), motaggsvamp (NT, T), orange taggsvamp (NT, T), rynkskinn (NT, T), tallticka (NT, T), ullticka (NT, T), vedtrappmossa (NT, T), bronshjon (S, T), grovticka (S, T), grönpyrola (S, T), svart trolldruva (S, T), trådticka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