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43304-2023 i Norrtälje kommun</w:t>
      </w:r>
    </w:p>
    <w:p>
      <w:r>
        <w:t>Detta dokument behandlar höga naturvärden i avverkningsanmälan A 43304-2023 i Norrtälje kommun. Denna avverkningsanmälan inkom 2023-09-14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spricktaggsvamp (VU), kungsspindling (NT) och persiljespindling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5379"/>
            <wp:docPr id="1" name="Picture 1"/>
            <wp:cNvGraphicFramePr>
              <a:graphicFrameLocks noChangeAspect="1"/>
            </wp:cNvGraphicFramePr>
            <a:graphic>
              <a:graphicData uri="http://schemas.openxmlformats.org/drawingml/2006/picture">
                <pic:pic>
                  <pic:nvPicPr>
                    <pic:cNvPr id="0" name="A 43304-2023 karta.png"/>
                    <pic:cNvPicPr/>
                  </pic:nvPicPr>
                  <pic:blipFill>
                    <a:blip r:embed="rId16"/>
                    <a:stretch>
                      <a:fillRect/>
                    </a:stretch>
                  </pic:blipFill>
                  <pic:spPr>
                    <a:xfrm>
                      <a:off x="0" y="0"/>
                      <a:ext cx="5486400" cy="45053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6646149, E 708884 i SWEREF 99 TM.</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Spricktaggsvamp (VU) </w:t>
      </w:r>
      <w:r>
        <w:t>är en sällsynt ”toppart” som indikerar starkt skyddsvärda kalkgranskogar. Den ingår i ett åtgärdsprogram för hotade arter (ÅGP) och är placerad högst upp i Skogsstyrelsens värdepyramid för bedömning av skog med höga naturvärden. Arten hotas främst av avverkning och andra skogsbruksåtgärder och tål inte en slutavverkning utan kräver ett kontinuerligt äldre trädskikt med gran. Skogsområden med spricktaggsvamp bör skyddas och undantas från rationellt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