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14869-2022 i Norrtälje kommun</w:t>
      </w:r>
    </w:p>
    <w:p>
      <w:r>
        <w:t>Detta dokument behandlar höga naturvärden i avverkningsanmälan A 14869-2022 i Norrtälje kommun. Denna avverkningsanmälan inkom 2022-04-05 och omfattar 9,1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björkstumpbagge (NT), svartspetsad rödrock (NT) och robust tickgnagare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5146"/>
            <wp:docPr id="1" name="Picture 1"/>
            <wp:cNvGraphicFramePr>
              <a:graphicFrameLocks noChangeAspect="1"/>
            </wp:cNvGraphicFramePr>
            <a:graphic>
              <a:graphicData uri="http://schemas.openxmlformats.org/drawingml/2006/picture">
                <pic:pic>
                  <pic:nvPicPr>
                    <pic:cNvPr id="0" name="A 14869-2022 karta.png"/>
                    <pic:cNvPicPr/>
                  </pic:nvPicPr>
                  <pic:blipFill>
                    <a:blip r:embed="rId16"/>
                    <a:stretch>
                      <a:fillRect/>
                    </a:stretch>
                  </pic:blipFill>
                  <pic:spPr>
                    <a:xfrm>
                      <a:off x="0" y="0"/>
                      <a:ext cx="5486400" cy="41351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6650566, E 690096 i SWEREF 99 TM.</w:t>
      </w:r>
    </w:p>
    <w:p>
      <w:r>
        <w:rPr>
          <w:b/>
        </w:rPr>
        <w:t>Björkstumpbagge (NT)</w:t>
      </w:r>
      <w:r>
        <w:t xml:space="preserve"> är rovdjur som lever under bark på döda, insektsangripna, såväl liggande som stående stammar och stubbar av björk, men även på andra trädslag såsom asp, ek och barrträd. De träd som utnyttjas bör ha varit döda i cirka fem år eller mer. Arten hotas av skogsbruk där lämpliga bestånd med grov vårtbjörk har minskat i antal. Gamla björkbestånd och döda björkstammar bör sparas vid avverkningar. För att långsiktigt möjliggöra artens överlevnad är det även viktigt att öka lövträdsinblandningen i skogen och att spara björkar vid gallring så att det även framgent kommer att finnas gamla, grova träd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