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klagomål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38 naturvårdsarter, varav 21 är rödlistade, 6 är fridlysta, 14 är typiska (T) och 13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granbarkgnagare (S, T), grön sköldmossa (S, T, §8), guldkremla (S), kamjordstjärna (S), olivspindling (S), rödgul trumpetsvamp (S), skogsknipprot (S, T, §8), strimspindling (S), stubbspretmossa (S, T), vågbandad barkbock (S), zontaggsvamp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